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1.007426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cấp Giấy chứng nhận đăng ký hành nghề dịch vụ kế toán (Cấp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Kế toán, kiểm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w:t>
      </w:r>
    </w:p>
    <w:p>
      <w:pPr>
        <w:spacing w:after="0" w:before="0" w:lineRule="auto" w:line="276"/>
        <w:jc w:val="both"/>
      </w:pPr>
      <w:r>
        <w:rPr>
          <w:rFonts w:ascii="Times New Roman" w:hAnsi="Times New Roman" w:cs="Times New Roman" w:eastAsia="Times New Roman"/>
          <w:b w:val="false"/>
          <w:sz w:val="26"/>
        </w:rPr>
        <w:t>- Bước 2: Thẩm định hồ sơ: Bộ Tài chính (Cục QLGS kế toán, kiểm toán) tiếp nhận hồ sơ và thẩm định hồ sơ.</w:t>
      </w:r>
    </w:p>
    <w:p>
      <w:pPr>
        <w:spacing w:after="0" w:before="0" w:lineRule="auto" w:line="276"/>
        <w:jc w:val="both"/>
      </w:pPr>
      <w:r>
        <w:rPr>
          <w:rFonts w:ascii="Times New Roman" w:hAnsi="Times New Roman" w:cs="Times New Roman" w:eastAsia="Times New Roman"/>
          <w:b w:val="false"/>
          <w:sz w:val="26"/>
        </w:rPr>
        <w:t>- Bước 3: Nộp phí</w:t>
      </w:r>
    </w:p>
    <w:p>
      <w:pPr>
        <w:spacing w:after="0" w:before="0" w:lineRule="auto" w:line="276"/>
        <w:jc w:val="both"/>
      </w:pPr>
      <w:r>
        <w:rPr>
          <w:rFonts w:ascii="Times New Roman" w:hAnsi="Times New Roman" w:cs="Times New Roman" w:eastAsia="Times New Roman"/>
          <w:b w:val="false"/>
          <w:sz w:val="26"/>
        </w:rPr>
        <w:t>- Bước 4: Cấp giấy chứng nhận</w:t>
      </w:r>
    </w:p>
    <w:p>
      <w:pPr>
        <w:spacing w:after="0" w:before="0" w:lineRule="auto" w:line="276"/>
        <w:jc w:val="both"/>
      </w:pPr>
      <w:r>
        <w:rPr>
          <w:rFonts w:ascii="Times New Roman" w:hAnsi="Times New Roman" w:cs="Times New Roman" w:eastAsia="Times New Roman"/>
          <w:b w:val="false"/>
          <w:sz w:val="26"/>
        </w:rPr>
        <w:t>- Bước 5: Công khai danh sách trên trang điện tử của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(Phí thẩm địnhcấp GCN: 1.200.000đ)</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- 15 ngày kể từ ngày nhận được hồ sơ hợp lệ và nộp đủ phí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(Phí cấp Giấy chứng nhận đăng ký hành nghề dịch vụ kế toán)</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hoặc thông qua dịch vụ bưu chính công ích theo quy định của Thủ tướng Chính phủ, qua thuê dịch vụ của doanh nghiệp, cá nhân hoặc qua ủy quyền theo quy định của pháp luật; hoặc nộp trực tuyến tại Cổng Dịch vụ công quốc gia hoặc Cổng Dịch vụ công của Bộ Tài chính hoặc qua hệ thống thông tin Một cửa điện tử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(Phí thẩm địnhcấp GCN: 1.200.000đ)</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- 15 ngày kể từ ngày nhận được hồ sơ hợp lệ và nộp đủ phí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đăng ký hành nghề dịch vụ kế toán theo mẫu quy định tại Phụ lục số 01/ĐKHN ban hành kèm theo Thông tư số 296/2016/TT-BTC ngày 15/11/2016 của Bộ Tài chính hướng dẫn về cấp, thu hồi và quản lý giấy chứng nhận đăng ký hành nghề dịch vụ kế toán.</w:t>
            </w:r>
          </w:p>
        </w:tc>
        <w:tc>
          <w:p/>
          <w:p>
            <w:pPr>
              <w:spacing w:after="0" w:before="0" w:lineRule="auto" w:line="276"/>
              <w:jc w:val="left"/>
            </w:pPr>
            <w:r>
              <w:rPr>
                <w:rFonts w:ascii="Times New Roman" w:hAnsi="Times New Roman" w:cs="Times New Roman" w:eastAsia="Times New Roman"/>
                <w:b w:val="false"/>
                <w:sz w:val="26"/>
              </w:rPr>
              <w:t>Phụ lục số 01 TT296.pdf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làm toàn bộ thời gian tại doanh nghiệp kinh doanh dịch vụ kế toán, hộ kinh doanh dịch vụ kế toán (trừ trường hợp người đăng ký hành nghề dịch vụ kế toán thuộc đối tượng không phải có hợp đồng lao động theo pháp luật về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chỉ kế toán viên hoặc chứng chỉ kiểm toán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về thời gian thực tế làm công tác tài chính, kế toán, kiểm toán theo mẫu quy định tại Phụ lục số 04/ĐKHN ban hành kèm theo Thông tư này hoặc các tài liệu chứng minh về thời gian thực tế làm công tác tài chính, kế toán, kiểm toán.</w:t>
            </w:r>
          </w:p>
        </w:tc>
        <w:tc>
          <w:p/>
          <w:p>
            <w:pPr>
              <w:spacing w:after="0" w:before="0" w:lineRule="auto" w:line="276"/>
              <w:jc w:val="left"/>
            </w:pPr>
            <w:r>
              <w:rPr>
                <w:rFonts w:ascii="Times New Roman" w:hAnsi="Times New Roman" w:cs="Times New Roman" w:eastAsia="Times New Roman"/>
                <w:b w:val="false"/>
                <w:sz w:val="26"/>
              </w:rPr>
              <w:t>Phụ lục số 04 TT296.pdf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Hai ảnh màu cỡ 3x4cm được chụp trên nền trắng trong thời hạn không quá sáu (06) tháng tính đến ngày nộp hồ sơ đăng ký hành nghề dịch vụ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thôi việc hoặc Quyết định chấm dứt hợp đồng lao động tại nơi làm việc trước khi đăng ký hành nghề dịch vụ kế toán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phép lao động tại Việt Nam của người đăng ký hành nghề dịch vụ kế toán là người nước ngoài trừ trường hợp người đăng ký thuộc đối tượng không phải có giấy phép lao động theo quy định của pháp luật lao động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giờ cập nhật kiến thức tại các tổ chức nghề nghiệp quốc tế về kế toán, kiểm toán đối với trường hợp có tính giờ cập nhật kiến thức.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việc nộp phí thẩm định cấp Giấy chứng nhận đăng ký hành nghề dịch vụ kế toán trừ trường hợp phí thẩm định đã được nộp khi hồ sơ nộp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hành nghề dịch vụ kế toán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88/2015/QH13</w:t>
            </w:r>
          </w:p>
        </w:tc>
        <w:tc>
          <w:p/>
          <w:p>
            <w:pPr>
              <w:spacing w:after="0" w:before="0" w:lineRule="auto" w:line="276"/>
              <w:jc w:val="left"/>
            </w:pPr>
            <w:r>
              <w:rPr>
                <w:rFonts w:ascii="Times New Roman" w:hAnsi="Times New Roman" w:cs="Times New Roman" w:eastAsia="Times New Roman"/>
                <w:b w:val="false"/>
                <w:sz w:val="26"/>
              </w:rPr>
              <w:t>Luật kế toán số 88/2015/QH13</w:t>
            </w:r>
          </w:p>
        </w:tc>
        <w:tc>
          <w:p/>
          <w:p>
            <w:pPr>
              <w:spacing w:after="0" w:before="0" w:lineRule="auto" w:line="276"/>
              <w:jc w:val="left"/>
            </w:pPr>
            <w:r>
              <w:rPr>
                <w:rFonts w:ascii="Times New Roman" w:hAnsi="Times New Roman" w:cs="Times New Roman" w:eastAsia="Times New Roman"/>
                <w:b w:val="false"/>
                <w:sz w:val="26"/>
              </w:rPr>
              <w:t>20-11-2015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296/2016/TT-BTC</w:t>
            </w:r>
          </w:p>
        </w:tc>
        <w:tc>
          <w:p/>
          <w:p>
            <w:pPr>
              <w:spacing w:after="0" w:before="0" w:lineRule="auto" w:line="276"/>
              <w:jc w:val="left"/>
            </w:pPr>
            <w:r>
              <w:rPr>
                <w:rFonts w:ascii="Times New Roman" w:hAnsi="Times New Roman" w:cs="Times New Roman" w:eastAsia="Times New Roman"/>
                <w:b w:val="false"/>
                <w:sz w:val="26"/>
              </w:rPr>
              <w:t>Thông tư 296/2016/TT-BTC ngày 15/11/2016 của Bộ Tài chính Hướng dẫn về cấp, thu hồi và quản lý Giấy chứng nhận đăng ký hành nghề dịch vụ kế toán.</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23/2024/TT-BTC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hướng dẫn về quản lý và kiểm tra hoạt động dịch vụ kế toán</w:t>
            </w:r>
          </w:p>
        </w:tc>
        <w:tc>
          <w:p/>
          <w:p>
            <w:pPr>
              <w:spacing w:after="0" w:before="0" w:lineRule="auto" w:line="276"/>
              <w:jc w:val="left"/>
            </w:pPr>
            <w:r>
              <w:rPr>
                <w:rFonts w:ascii="Times New Roman" w:hAnsi="Times New Roman" w:cs="Times New Roman" w:eastAsia="Times New Roman"/>
                <w:b w:val="false"/>
                <w:sz w:val="26"/>
              </w:rPr>
              <w:t>12-04-2024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đăng ký hành nghề dịch vụ kế toán:
Người có chứng chỉ kế toán viên hoặc chứng chỉ kiểm toán viên theo quy định của Luật kiểm toán độc lập được đăng ký hành nghề dịch vụ kế toán qua doanh nghiệp kinh doanh dịch vụ kế toán hoặc hộ kinh doanh dịch vụ kế toán khi có đủ các điều kiện sau:
+ Có năng lực hành vi dân sự
+ Có thời gian công tác thực tế vè tài chsinh, kế toán, kiểm toán từ ba mươi sáu (36) tháng trở lên kể từ thời điểm tốt nghiệp đại học.
+ Đủ giờ cập nhật kiến thức theo quy định của Bộ Tài chính.
- Hồ sơ sao y phải đảm bảo đúng quy định về sao y,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2026-05-01T03:38:17Z</dcterms:created>
  <dc:creator>Apache POI</dc:creator>
</cp:coreProperties>
</file>