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1.007451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1435/QĐ-BTC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cấp Giấy chứng nhận đủ điều kiện kinh doanh dịch vụ kế toán (Cấp lần đầu)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Kế toán, kiểm toán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w:t>
      </w:r>
    </w:p>
    <w:p>
      <w:pPr>
        <w:spacing w:after="0" w:before="0" w:lineRule="auto" w:line="276"/>
        <w:jc w:val="both"/>
      </w:pPr>
      <w:r>
        <w:rPr>
          <w:rFonts w:ascii="Times New Roman" w:hAnsi="Times New Roman" w:cs="Times New Roman" w:eastAsia="Times New Roman"/>
          <w:b w:val="false"/>
          <w:sz w:val="26"/>
        </w:rPr>
        <w:t>- Bước 2: Thẩm định hồ sơ: Bộ Tài chính (Cục QLGS kế toán, kiểm toán) tiếp nhận hồ sõ và thẩm định hồ sơ.</w:t>
      </w:r>
    </w:p>
    <w:p>
      <w:pPr>
        <w:spacing w:after="0" w:before="0" w:lineRule="auto" w:line="276"/>
        <w:jc w:val="both"/>
      </w:pPr>
      <w:r>
        <w:rPr>
          <w:rFonts w:ascii="Times New Roman" w:hAnsi="Times New Roman" w:cs="Times New Roman" w:eastAsia="Times New Roman"/>
          <w:b w:val="false"/>
          <w:sz w:val="26"/>
        </w:rPr>
        <w:t>- Bước 3: Nộp phí.</w:t>
      </w:r>
    </w:p>
    <w:p>
      <w:pPr>
        <w:spacing w:after="0" w:before="0" w:lineRule="auto" w:line="276"/>
        <w:jc w:val="both"/>
      </w:pPr>
      <w:r>
        <w:rPr>
          <w:rFonts w:ascii="Times New Roman" w:hAnsi="Times New Roman" w:cs="Times New Roman" w:eastAsia="Times New Roman"/>
          <w:b w:val="false"/>
          <w:sz w:val="26"/>
        </w:rPr>
        <w:t>- Bước 4: Cấp giấy chứng nhận.</w:t>
      </w:r>
    </w:p>
    <w:p>
      <w:pPr>
        <w:spacing w:after="0" w:before="0" w:lineRule="auto" w:line="276"/>
        <w:jc w:val="both"/>
      </w:pPr>
      <w:r>
        <w:rPr>
          <w:rFonts w:ascii="Times New Roman" w:hAnsi="Times New Roman" w:cs="Times New Roman" w:eastAsia="Times New Roman"/>
          <w:b w:val="false"/>
          <w:sz w:val="26"/>
        </w:rPr>
        <w:t>- Bước 5: Công khai danh sách trên trang điện tử Bộ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(Phí thẩm định cấp GCN: 4.000.000 VNĐ)</w:t>
            </w:r>
          </w:p>
        </w:tc>
        <w:tc>
          <w:p/>
          <w:p>
            <w:pPr>
              <w:spacing w:after="0" w:before="0" w:lineRule="auto" w:line="276"/>
              <w:jc w:val="left"/>
            </w:pPr>
            <w:r>
              <w:rPr>
                <w:rFonts w:ascii="Times New Roman" w:hAnsi="Times New Roman" w:cs="Times New Roman" w:eastAsia="Times New Roman"/>
                <w:b w:val="false"/>
                <w:sz w:val="26"/>
              </w:rPr>
              <w:t>- Nộp hồ sơ trực tiếp tại trụ sở Bộ Tài chính hoặc qua đường bưu điện
- 15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(Phí thẩm định cấp GCN: 4.000.000 VNĐ)</w:t>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hoặc thông qua dịch vụ bưu chính công ích theo quy định của Thủ tướng Chính phủ, qua thuê dịch vụ của doanh nghiệp, cá nhân hoặc qua ủy quyền theo quy định của pháp luật; hoặc nộp trực tuyến tại Cổng Dịch vụ công quốc gia hoặc Cổng Dịch vụ công của Bộ Tài chính hoặc qua hệ thống thông tin Một cửa điện tử Bộ Tài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(Phí thẩm định cấp GCN: 4.000.000 VNĐ)</w:t>
            </w:r>
          </w:p>
        </w:tc>
        <w:tc>
          <w:p/>
          <w:p>
            <w:pPr>
              <w:spacing w:after="0" w:before="0" w:lineRule="auto" w:line="276"/>
              <w:jc w:val="left"/>
            </w:pPr>
            <w:r>
              <w:rPr>
                <w:rFonts w:ascii="Times New Roman" w:hAnsi="Times New Roman" w:cs="Times New Roman" w:eastAsia="Times New Roman"/>
                <w:b w:val="false"/>
                <w:sz w:val="26"/>
              </w:rPr>
              <w:t>- Nộp hồ sơ trực tiếp tại trụ sở Bộ Tài chính hoặc qua đường bưu điện
- 15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 Giấy chứng nhận đăng ký đầu tư hoặc giấy tờ khác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hành nghề dịch vụ kế toán của các kế toán viên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Hợp đồng lao động với doanh nghiệp kinh doanh dịch vụ kế toán của các kế toán viên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Tài liệu chứng minh về vốn góp đối với công ty trách nhiệm hữu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Điều lệ công ty đối với công ty hợp danh, công ty trách nhiệm hữu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Văn bản cam kết chịu trách nhiệm của doanh nghiệp nước ngoài, giấy tờ chứng nhận được phép kinh doanh dịch vụ kế toán của doanh nghiệp nước ngoài đối với chi nhánh doanh nghiệp kinh doanh dịch vụ kế toán nước ngoài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Giấy chứng nhận đủ điều kiện kinh doanh dịch vụ kế toán theo mẫu quy định tại Phụ lục số 1 ban hành kèm theo Thông tư số 297/2016/TT-BTC ngày 15/11/2016 của Bộ Tài chính về cấp, quản lý và sử dụng Giấy chứng nhận đủ điều kiện kinh doanh dịch vụ kế toán, được sửa đổi, bổ sung tại Thông tư số 43/2023/TT-BTC và Thông tư số 23/2024/TT-BTC.</w:t>
            </w:r>
          </w:p>
        </w:tc>
        <w:tc>
          <w:p/>
          <w:p>
            <w:pPr>
              <w:spacing w:after="0" w:before="0" w:lineRule="auto" w:line="276"/>
              <w:jc w:val="left"/>
            </w:pPr>
            <w:r>
              <w:rPr>
                <w:rFonts w:ascii="Times New Roman" w:hAnsi="Times New Roman" w:cs="Times New Roman" w:eastAsia="Times New Roman"/>
                <w:b w:val="false"/>
                <w:sz w:val="26"/>
              </w:rPr>
              <w:t>Phụ lục 1 TT297.pdf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dịch vụ kế toán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88/2015/QH13</w:t>
            </w:r>
          </w:p>
        </w:tc>
        <w:tc>
          <w:p/>
          <w:p>
            <w:pPr>
              <w:spacing w:after="0" w:before="0" w:lineRule="auto" w:line="276"/>
              <w:jc w:val="left"/>
            </w:pPr>
            <w:r>
              <w:rPr>
                <w:rFonts w:ascii="Times New Roman" w:hAnsi="Times New Roman" w:cs="Times New Roman" w:eastAsia="Times New Roman"/>
                <w:b w:val="false"/>
                <w:sz w:val="26"/>
              </w:rPr>
              <w:t>Luật kế toán số 88/2015/QH13</w:t>
            </w:r>
          </w:p>
        </w:tc>
        <w:tc>
          <w:p/>
          <w:p>
            <w:pPr>
              <w:spacing w:after="0" w:before="0" w:lineRule="auto" w:line="276"/>
              <w:jc w:val="left"/>
            </w:pPr>
            <w:r>
              <w:rPr>
                <w:rFonts w:ascii="Times New Roman" w:hAnsi="Times New Roman" w:cs="Times New Roman" w:eastAsia="Times New Roman"/>
                <w:b w:val="false"/>
                <w:sz w:val="26"/>
              </w:rPr>
              <w:t>20-11-2015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297/2016/TT-BTC</w:t>
            </w:r>
          </w:p>
        </w:tc>
        <w:tc>
          <w:p/>
          <w:p>
            <w:pPr>
              <w:spacing w:after="0" w:before="0" w:lineRule="auto" w:line="276"/>
              <w:jc w:val="left"/>
            </w:pPr>
            <w:r>
              <w:rPr>
                <w:rFonts w:ascii="Times New Roman" w:hAnsi="Times New Roman" w:cs="Times New Roman" w:eastAsia="Times New Roman"/>
                <w:b w:val="false"/>
                <w:sz w:val="26"/>
              </w:rPr>
              <w:t>Thông tư 297/2016/TT-BTC ngày 30/12/2016 của Bộ Tài chính về cấp, quản lý và sử dụng Giấy chứng nhận đủ điều kiện kinh doanh dịch vụ kế toán.</w:t>
            </w:r>
          </w:p>
        </w:tc>
        <w:tc>
          <w:p/>
          <w:p>
            <w:pPr>
              <w:spacing w:after="0" w:before="0" w:lineRule="auto" w:line="276"/>
              <w:jc w:val="left"/>
            </w:pPr>
            <w:r>
              <w:rPr>
                <w:rFonts w:ascii="Times New Roman" w:hAnsi="Times New Roman" w:cs="Times New Roman" w:eastAsia="Times New Roman"/>
                <w:b w:val="false"/>
                <w:sz w:val="26"/>
              </w:rPr>
              <w:t>30-12-2016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174/2016/NĐ-CP</w:t>
            </w:r>
          </w:p>
        </w:tc>
        <w:tc>
          <w:p/>
          <w:p>
            <w:pPr>
              <w:spacing w:after="0" w:before="0" w:lineRule="auto" w:line="276"/>
              <w:jc w:val="left"/>
            </w:pPr>
            <w:r>
              <w:rPr>
                <w:rFonts w:ascii="Times New Roman" w:hAnsi="Times New Roman" w:cs="Times New Roman" w:eastAsia="Times New Roman"/>
                <w:b w:val="false"/>
                <w:sz w:val="26"/>
              </w:rPr>
              <w:t>Nghị định số 174/2016/NĐ-CP ngày 30/12/2016 của Chính phủ quy định chi tiết một số điều của Luật kế toán</w:t>
            </w:r>
          </w:p>
        </w:tc>
        <w:tc>
          <w:p/>
          <w:p>
            <w:pPr>
              <w:spacing w:after="0" w:before="0" w:lineRule="auto" w:line="276"/>
              <w:jc w:val="left"/>
            </w:pPr>
            <w:r>
              <w:rPr>
                <w:rFonts w:ascii="Times New Roman" w:hAnsi="Times New Roman" w:cs="Times New Roman" w:eastAsia="Times New Roman"/>
                <w:b w:val="false"/>
                <w:sz w:val="26"/>
              </w:rPr>
              <w:t>30-12-2016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TT43/2023/TT-BTC</w:t>
            </w:r>
          </w:p>
        </w:tc>
        <w:tc>
          <w:p/>
          <w:p>
            <w:pPr>
              <w:spacing w:after="0" w:before="0" w:lineRule="auto" w:line="276"/>
              <w:jc w:val="left"/>
            </w:pPr>
            <w:r>
              <w:rPr>
                <w:rFonts w:ascii="Times New Roman" w:hAnsi="Times New Roman" w:cs="Times New Roman" w:eastAsia="Times New Roman"/>
                <w:b w:val="false"/>
                <w:sz w:val="26"/>
              </w:rPr>
              <w:t>Thông tư số 43/2023/TT-BTC ngày 27/6/2023 của Bộ trưởng Bộ Tài chính sửa đổi, bổ sung một số điều của các Thông tư có quy định liên quan đến việc nộp, xuất trình và khai thông tin về đăng ký sổ hộ khẩu, sổ tạm trú hoặc giấy tờ có yêu cầu xác nhận của địa phương nơi cư trú khi thực hiện các chính sách hoặc thủ tục hành chính thuộc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27-06-2023</w:t>
            </w:r>
          </w:p>
        </w:tc>
        <w:tc>
          <w:p/>
        </w:tc>
      </w:tr>
      <w:tr>
        <w:tc>
          <w:p/>
          <w:p>
            <w:pPr>
              <w:spacing w:after="0" w:before="0" w:lineRule="auto" w:line="276"/>
              <w:jc w:val="left"/>
            </w:pPr>
            <w:r>
              <w:rPr>
                <w:rFonts w:ascii="Times New Roman" w:hAnsi="Times New Roman" w:cs="Times New Roman" w:eastAsia="Times New Roman"/>
                <w:b w:val="false"/>
                <w:sz w:val="26"/>
              </w:rPr>
              <w:t>23/2024/TT-BTC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hướng dẫn về quản lý và kiểm tra hoạt động dịch vụ kế toán</w:t>
            </w:r>
          </w:p>
        </w:tc>
        <w:tc>
          <w:p/>
          <w:p>
            <w:pPr>
              <w:spacing w:after="0" w:before="0" w:lineRule="auto" w:line="276"/>
              <w:jc w:val="left"/>
            </w:pPr>
            <w:r>
              <w:rPr>
                <w:rFonts w:ascii="Times New Roman" w:hAnsi="Times New Roman" w:cs="Times New Roman" w:eastAsia="Times New Roman"/>
                <w:b w:val="false"/>
                <w:sz w:val="26"/>
              </w:rPr>
              <w:t>12-04-2024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ty trách nhiệm hữu hạn hai thành viên trở lên, công ty hợp danh, doanh nghiệp tư nhân có đủ các điều kiện theo quy định tại Điều 60 Luật Kế toán và các quy định tại Nghị định số 174/2016/NĐ-CP ngày 30/12/2016.</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2026-05-09T14:46:40Z</dcterms:created>
  <dc:creator>Apache POI</dc:creator>
</cp:coreProperties>
</file>