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1.007475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1435/QĐ-BTC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cấp Giấy chứng nhận đăng ký hành nghề kiểm toán (Cấp mới)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Kế toán, kiểm toán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w:t>
      </w:r>
    </w:p>
    <w:p>
      <w:pPr>
        <w:spacing w:after="0" w:before="0" w:lineRule="auto" w:line="276"/>
        <w:jc w:val="both"/>
      </w:pPr>
      <w:r>
        <w:rPr>
          <w:rFonts w:ascii="Times New Roman" w:hAnsi="Times New Roman" w:cs="Times New Roman" w:eastAsia="Times New Roman"/>
          <w:b w:val="false"/>
          <w:sz w:val="26"/>
        </w:rPr>
        <w:t>- Bước 2: Thẩm định hồ sơ: Bộ Tài chính (Cục Quản lý giám sát kế toán, kiểm toán) tiếp nhận hồ sơ và thẩm định hồ sơ.</w:t>
      </w:r>
    </w:p>
    <w:p>
      <w:pPr>
        <w:spacing w:after="0" w:before="0" w:lineRule="auto" w:line="276"/>
        <w:jc w:val="both"/>
      </w:pPr>
      <w:r>
        <w:rPr>
          <w:rFonts w:ascii="Times New Roman" w:hAnsi="Times New Roman" w:cs="Times New Roman" w:eastAsia="Times New Roman"/>
          <w:b w:val="false"/>
          <w:sz w:val="26"/>
        </w:rPr>
        <w:t>- Bước 3: Nộp lệ phí đối với cá nhân đủ điều kiện.</w:t>
      </w:r>
    </w:p>
    <w:p>
      <w:pPr>
        <w:spacing w:after="0" w:before="0" w:lineRule="auto" w:line="276"/>
        <w:jc w:val="both"/>
      </w:pPr>
      <w:r>
        <w:rPr>
          <w:rFonts w:ascii="Times New Roman" w:hAnsi="Times New Roman" w:cs="Times New Roman" w:eastAsia="Times New Roman"/>
          <w:b w:val="false"/>
          <w:sz w:val="26"/>
        </w:rPr>
        <w:t>- Bước 4: Cấp giấy chứng nhận đối người đủ điều kiện.</w:t>
      </w:r>
    </w:p>
    <w:p>
      <w:pPr>
        <w:spacing w:after="0" w:before="0" w:lineRule="auto" w:line="276"/>
        <w:jc w:val="both"/>
      </w:pPr>
      <w:r>
        <w:rPr>
          <w:rFonts w:ascii="Times New Roman" w:hAnsi="Times New Roman" w:cs="Times New Roman" w:eastAsia="Times New Roman"/>
          <w:b w:val="false"/>
          <w:sz w:val="26"/>
        </w:rPr>
        <w:t>- Bước 5: Công khai danh sách trên trang điện tử của Bộ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1.200.000 Đồng</w:t>
              <w:t xml:space="preserve"> (Phí, lệ phí: 1.200.000đ)</w:t>
            </w:r>
          </w:p>
        </w:tc>
        <w:tc>
          <w:p/>
          <w:p>
            <w:pPr>
              <w:spacing w:after="0" w:before="0" w:lineRule="auto" w:line="276"/>
              <w:jc w:val="left"/>
            </w:pPr>
            <w:r>
              <w:rPr>
                <w:rFonts w:ascii="Times New Roman" w:hAnsi="Times New Roman" w:cs="Times New Roman" w:eastAsia="Times New Roman"/>
                <w:b w:val="false"/>
                <w:sz w:val="26"/>
              </w:rPr>
              <w:t>- Nộp hồ sơ trực tiếp tại trụ sở Bộ Tài chính hoặc qua đường bưu điện
- 15 ngày kể từ ngày nhận được hồ sơ hợp lệ và đảm bảo đủ điều kiện.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1.200.000 Đồng</w:t>
            </w:r>
          </w:p>
        </w:tc>
        <w:tc>
          <w:p/>
          <w:p>
            <w:pPr>
              <w:spacing w:after="0" w:before="0" w:lineRule="auto" w:line="276"/>
              <w:jc w:val="left"/>
            </w:pPr>
            <w:r>
              <w:rPr>
                <w:rFonts w:ascii="Times New Roman" w:hAnsi="Times New Roman" w:cs="Times New Roman" w:eastAsia="Times New Roman"/>
                <w:b w:val="false"/>
                <w:sz w:val="26"/>
              </w:rPr>
              <w:t>nộp trực tuyến tại Cổng Dịch vụ công quốc gia hoặc Cổng Dịch vụ công của Bộ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1.200.000 Đồng</w:t>
              <w:t xml:space="preserve"> (Phí, lệ phí: 1.200.000đ)</w:t>
            </w:r>
          </w:p>
        </w:tc>
        <w:tc>
          <w:p/>
          <w:p>
            <w:pPr>
              <w:spacing w:after="0" w:before="0" w:lineRule="auto" w:line="276"/>
              <w:jc w:val="left"/>
            </w:pPr>
            <w:r>
              <w:rPr>
                <w:rFonts w:ascii="Times New Roman" w:hAnsi="Times New Roman" w:cs="Times New Roman" w:eastAsia="Times New Roman"/>
                <w:b w:val="false"/>
                <w:sz w:val="26"/>
              </w:rPr>
              <w:t>- Nộp hồ sơ trực tiếp tại trụ sở Bộ Tài chính hoặc qua đường bưu điện
- 15 ngày kể từ ngày nhận được hồ sơ hợp lệ và đảm bảo đủ điều kiện.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đăng ký hành nghề kiểm toán theo mẫu quy định tại Phụ lục số 01/ĐKHN ban hành kèm theo Thông tư 202/2012/TT-BTC ngày 19/11/2012.</w:t>
            </w:r>
          </w:p>
        </w:tc>
        <w:tc>
          <w:p/>
          <w:p>
            <w:pPr>
              <w:spacing w:after="0" w:before="0" w:lineRule="auto" w:line="276"/>
              <w:jc w:val="left"/>
            </w:pPr>
            <w:r>
              <w:rPr>
                <w:rFonts w:ascii="Times New Roman" w:hAnsi="Times New Roman" w:cs="Times New Roman" w:eastAsia="Times New Roman"/>
                <w:b w:val="false"/>
                <w:sz w:val="26"/>
              </w:rPr>
              <w:t>202-2012-TT-BTC_41741_1.doc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lao động làm toàn bộ thời gian tại doanh nghiệp kiểm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về thời gian thực tế làm kiểm toán theo mẫu quy định tại Phụ lục số 04/ĐKHN ban hành kèm theo Thông tư 202/2012/TT-BTC hoặc tài liệu chứng minh về thời gian thực tế làm kiểm toán hoặc Bản giải trình kèm theo tài liệu chứng minh về thời gian thực tế làm kiểm toán.</w:t>
            </w:r>
          </w:p>
        </w:tc>
        <w:tc>
          <w:p/>
          <w:p>
            <w:pPr>
              <w:spacing w:after="0" w:before="0" w:lineRule="auto" w:line="276"/>
              <w:jc w:val="left"/>
            </w:pPr>
            <w:r>
              <w:rPr>
                <w:rFonts w:ascii="Times New Roman" w:hAnsi="Times New Roman" w:cs="Times New Roman" w:eastAsia="Times New Roman"/>
                <w:b w:val="false"/>
                <w:sz w:val="26"/>
              </w:rPr>
              <w:t>202-2012-TT-BTC_41741_1.doc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thông tin cá nhân theo mẫu quy định tại Phụ lục số 05/ĐKHN ban hành kèm theo Thông tư 202/2012/TT-BTC.</w:t>
            </w:r>
          </w:p>
        </w:tc>
        <w:tc>
          <w:p/>
          <w:p>
            <w:pPr>
              <w:spacing w:after="0" w:before="0" w:lineRule="auto" w:line="276"/>
              <w:jc w:val="left"/>
            </w:pPr>
            <w:r>
              <w:rPr>
                <w:rFonts w:ascii="Times New Roman" w:hAnsi="Times New Roman" w:cs="Times New Roman" w:eastAsia="Times New Roman"/>
                <w:b w:val="false"/>
                <w:sz w:val="26"/>
              </w:rPr>
              <w:t>202-2012-TT-BTC_41741_1.doc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do cơ quan có thẩm quyền cấp trong thời hạn không quá sáu (06) tháng tính đến ngày nộp hồ sơ đăng ký hành nghề kiểm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chỉ kiểm toán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Hai ảnh màu cỡ 3x4cm được chụp trên nền trắng trong thời hạn không quá sáu (06) tháng tính đến ngày nộp hồ sơ đăng ký hành nghề kiểm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thôi việc hoặc Quyết định chấm dứt hợp đồng lao động tại nơi làm việc trước doanh nghiệp kiểm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phép lao động tại Việt Nam của kiểm toán viên là người nước ngoài trừ trường hợp pháp luật lao động Việt Nam quy định không cần phải có giấy phép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giờ cập nhật kiến thức của kiểm toán viên tại các tổ chức nghề nghiệp quốc tế về kế toán, kiểm toán đối với trường hợp có tính giờ cập nhật kiến thức.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hành nghề kiểm toán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67/2011/QH12</w:t>
            </w:r>
          </w:p>
        </w:tc>
        <w:tc>
          <w:p/>
          <w:p>
            <w:pPr>
              <w:spacing w:after="0" w:before="0" w:lineRule="auto" w:line="276"/>
              <w:jc w:val="left"/>
            </w:pPr>
            <w:r>
              <w:rPr>
                <w:rFonts w:ascii="Times New Roman" w:hAnsi="Times New Roman" w:cs="Times New Roman" w:eastAsia="Times New Roman"/>
                <w:b w:val="false"/>
                <w:sz w:val="26"/>
              </w:rPr>
              <w:t>Luật kiểm toán độc lập số 67/2011/QH12</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 17/2012/NĐ-CP</w:t>
            </w:r>
          </w:p>
        </w:tc>
        <w:tc>
          <w:p/>
          <w:p>
            <w:pPr>
              <w:spacing w:after="0" w:before="0" w:lineRule="auto" w:line="276"/>
              <w:jc w:val="left"/>
            </w:pPr>
            <w:r>
              <w:rPr>
                <w:rFonts w:ascii="Times New Roman" w:hAnsi="Times New Roman" w:cs="Times New Roman" w:eastAsia="Times New Roman"/>
                <w:b w:val="false"/>
                <w:sz w:val="26"/>
              </w:rPr>
              <w:t>Nghị định số 17/2012/NĐ-CP</w:t>
            </w:r>
          </w:p>
        </w:tc>
        <w:tc>
          <w:p/>
          <w:p>
            <w:pPr>
              <w:spacing w:after="0" w:before="0" w:lineRule="auto" w:line="276"/>
              <w:jc w:val="left"/>
            </w:pPr>
            <w:r>
              <w:rPr>
                <w:rFonts w:ascii="Times New Roman" w:hAnsi="Times New Roman" w:cs="Times New Roman" w:eastAsia="Times New Roman"/>
                <w:b w:val="false"/>
                <w:sz w:val="26"/>
              </w:rPr>
              <w:t>13-03-2012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202/2012/TT-BTC </w:t>
            </w:r>
          </w:p>
        </w:tc>
        <w:tc>
          <w:p/>
          <w:p>
            <w:pPr>
              <w:spacing w:after="0" w:before="0" w:lineRule="auto" w:line="276"/>
              <w:jc w:val="left"/>
            </w:pPr>
            <w:r>
              <w:rPr>
                <w:rFonts w:ascii="Times New Roman" w:hAnsi="Times New Roman" w:cs="Times New Roman" w:eastAsia="Times New Roman"/>
                <w:b w:val="false"/>
                <w:sz w:val="26"/>
              </w:rPr>
              <w:t>- Thông tư 202/2012/TT-BTC của Bộ Tài chính Hướng dẫn về đăng ký, quản lý và công khai danh sách kiểm toán viên hành nghề kiểm toán.</w:t>
            </w:r>
          </w:p>
        </w:tc>
        <w:tc>
          <w:p/>
          <w:p>
            <w:pPr>
              <w:spacing w:after="0" w:before="0" w:lineRule="auto" w:line="276"/>
              <w:jc w:val="left"/>
            </w:pPr>
            <w:r>
              <w:rPr>
                <w:rFonts w:ascii="Times New Roman" w:hAnsi="Times New Roman" w:cs="Times New Roman" w:eastAsia="Times New Roman"/>
                <w:b w:val="false"/>
                <w:sz w:val="26"/>
              </w:rPr>
              <w:t>19-11-2012</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đăng ký hành nghề kiểm toán:
+ Là kiểm toán viên.
+ Có thời gian thực tế làm kiểm toán từ đủ ba mươi sáu (36) tháng trở lên theo quy định.
+ Đủ giờ cập nhật kiến thức theo quy định của Bộ Tài chính.
- Hồ sơ sao y phải đảm bảo đúng quy định về sao y, chứng thực.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2026-05-14T17:02:18Z</dcterms:created>
  <dc:creator>Apache POI</dc:creator>
</cp:coreProperties>
</file>