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ettings+xml" PartName="/word/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app.xml" Type="http://schemas.openxmlformats.org/officeDocument/2006/relationships/extended-properties"/>
<Relationship Id="rId3" Target="docProps/core.xml" Type="http://schemas.openxmlformats.org/package/2006/relationships/metadata/core-properties"/>
</Relationships>

</file>

<file path=word/document.xml><?xml version="1.0" encoding="utf-8"?>
<w:document xmlns:w="http://schemas.openxmlformats.org/wordprocessingml/2006/main">
  <w:body>
    <w:p>
      <w:pPr>
        <w:spacing w:after="300" w:before="0" w:lineRule="auto" w:line="276"/>
        <w:jc w:val="center"/>
      </w:pPr>
      <w:r>
        <w:rPr>
          <w:rFonts w:ascii="Times New Roman" w:hAnsi="Times New Roman" w:cs="Times New Roman" w:eastAsia="Times New Roman"/>
          <w:b w:val="true"/>
          <w:sz w:val="26"/>
        </w:rPr>
        <w:t>Chi tiết thủ tục hành chính</w:t>
      </w:r>
    </w:p>
    <w:p>
      <w:pPr>
        <w:spacing w:after="0" w:before="0" w:lineRule="auto" w:line="276"/>
        <w:jc w:val="both"/>
      </w:pPr>
      <w:r>
        <w:rPr>
          <w:rFonts w:ascii="Times New Roman" w:hAnsi="Times New Roman" w:cs="Times New Roman" w:eastAsia="Times New Roman"/>
          <w:b w:val="true"/>
          <w:sz w:val="26"/>
        </w:rPr>
        <w:t xml:space="preserve">Mã thủ tục: </w:t>
      </w:r>
      <w:r>
        <w:rPr>
          <w:rFonts w:ascii="Times New Roman" w:hAnsi="Times New Roman" w:cs="Times New Roman" w:eastAsia="Times New Roman"/>
          <w:b w:val="false"/>
          <w:sz w:val="26"/>
        </w:rPr>
        <w:t>1.000016.000.00.00.H56</w:t>
      </w:r>
    </w:p>
    <w:p>
      <w:pPr>
        <w:spacing w:after="0" w:before="0" w:lineRule="auto" w:line="276"/>
        <w:jc w:val="both"/>
      </w:pPr>
      <w:r>
        <w:rPr>
          <w:rFonts w:ascii="Times New Roman" w:hAnsi="Times New Roman" w:cs="Times New Roman" w:eastAsia="Times New Roman"/>
          <w:b w:val="true"/>
          <w:sz w:val="26"/>
        </w:rPr>
        <w:t xml:space="preserve">Số quyết định: </w:t>
      </w:r>
      <w:r>
        <w:rPr>
          <w:rFonts w:ascii="Times New Roman" w:hAnsi="Times New Roman" w:cs="Times New Roman" w:eastAsia="Times New Roman"/>
          <w:b w:val="false"/>
          <w:sz w:val="26"/>
        </w:rPr>
        <w:t>4482/QĐ-UBND</w:t>
      </w:r>
    </w:p>
    <w:p>
      <w:pPr>
        <w:spacing w:after="0" w:before="0" w:lineRule="auto" w:line="276"/>
        <w:jc w:val="both"/>
      </w:pPr>
      <w:r>
        <w:rPr>
          <w:rFonts w:ascii="Times New Roman" w:hAnsi="Times New Roman" w:cs="Times New Roman" w:eastAsia="Times New Roman"/>
          <w:b w:val="true"/>
          <w:sz w:val="26"/>
        </w:rPr>
        <w:t xml:space="preserve">Tên thủ tục: </w:t>
      </w:r>
      <w:r>
        <w:rPr>
          <w:rFonts w:ascii="Times New Roman" w:hAnsi="Times New Roman" w:cs="Times New Roman" w:eastAsia="Times New Roman"/>
          <w:b w:val="false"/>
          <w:sz w:val="26"/>
        </w:rPr>
        <w:t>Thông báo tăng, giảm vốn góp của quỹ đầu tư khởi nghiệp sáng tạo (cấp tỉnh)</w:t>
      </w:r>
    </w:p>
    <w:p>
      <w:pPr>
        <w:spacing w:after="0" w:before="0" w:lineRule="auto" w:line="276"/>
        <w:jc w:val="both"/>
      </w:pPr>
      <w:r>
        <w:rPr>
          <w:rFonts w:ascii="Times New Roman" w:hAnsi="Times New Roman" w:cs="Times New Roman" w:eastAsia="Times New Roman"/>
          <w:b w:val="true"/>
          <w:sz w:val="26"/>
        </w:rPr>
        <w:t xml:space="preserve">Cấp thực hiện: </w:t>
      </w:r>
      <w:r>
        <w:rPr>
          <w:rFonts w:ascii="Times New Roman" w:hAnsi="Times New Roman" w:cs="Times New Roman" w:eastAsia="Times New Roman"/>
          <w:b w:val="false"/>
          <w:sz w:val="26"/>
        </w:rPr>
        <w:t>Cấp Tỉnh</w:t>
      </w:r>
    </w:p>
    <w:p>
      <w:pPr>
        <w:spacing w:after="0" w:before="0" w:lineRule="auto" w:line="276"/>
        <w:jc w:val="both"/>
      </w:pPr>
      <w:r>
        <w:rPr>
          <w:rFonts w:ascii="Times New Roman" w:hAnsi="Times New Roman" w:cs="Times New Roman" w:eastAsia="Times New Roman"/>
          <w:b w:val="true"/>
          <w:sz w:val="26"/>
        </w:rPr>
        <w:t xml:space="preserve">Loại thủ tục: </w:t>
      </w:r>
      <w:r>
        <w:rPr>
          <w:rFonts w:ascii="Times New Roman" w:hAnsi="Times New Roman" w:cs="Times New Roman" w:eastAsia="Times New Roman"/>
          <w:b w:val="false"/>
          <w:sz w:val="26"/>
        </w:rPr>
        <w:t>TTHC được luật giao quy định chi tiết</w:t>
      </w:r>
    </w:p>
    <w:p>
      <w:pPr>
        <w:spacing w:after="0" w:before="0" w:lineRule="auto" w:line="276"/>
        <w:jc w:val="both"/>
      </w:pPr>
      <w:r>
        <w:rPr>
          <w:rFonts w:ascii="Times New Roman" w:hAnsi="Times New Roman" w:cs="Times New Roman" w:eastAsia="Times New Roman"/>
          <w:b w:val="true"/>
          <w:sz w:val="26"/>
        </w:rPr>
        <w:t xml:space="preserve">Lĩnh vực: </w:t>
      </w:r>
      <w:r>
        <w:rPr>
          <w:rFonts w:ascii="Times New Roman" w:hAnsi="Times New Roman" w:cs="Times New Roman" w:eastAsia="Times New Roman"/>
          <w:b w:val="false"/>
          <w:sz w:val="26"/>
        </w:rPr>
        <w:t>Hỗ trợ doanh nghiệp nhỏ và vừa</w:t>
      </w:r>
    </w:p>
    <w:p>
      <w:pPr>
        <w:spacing w:after="0" w:before="0" w:lineRule="auto" w:line="276"/>
        <w:jc w:val="both"/>
      </w:pPr>
      <w:r>
        <w:rPr>
          <w:rFonts w:ascii="Times New Roman" w:hAnsi="Times New Roman" w:cs="Times New Roman" w:eastAsia="Times New Roman"/>
          <w:b w:val="true"/>
          <w:sz w:val="26"/>
        </w:rPr>
        <w:t xml:space="preserve">Trình tự thực hiện: </w:t>
      </w:r>
    </w:p>
    <w:p>
      <w:pPr>
        <w:shd w:val="clear" w:color="auto" w:fill="F2F6F9"/>
        <w:spacing w:after="0" w:before="120" w:lineRule="auto" w:line="276"/>
        <w:jc w:val="both"/>
      </w:pPr>
      <w:r>
        <w:rPr>
          <w:rFonts w:ascii="Times New Roman" w:hAnsi="Times New Roman" w:cs="Times New Roman" w:eastAsia="Times New Roman"/>
          <w:b w:val="true"/>
          <w:sz w:val="26"/>
        </w:rPr>
        <w:t/>
      </w:r>
    </w:p>
    <w:p>
      <w:pPr>
        <w:spacing w:after="0" w:before="0" w:lineRule="auto" w:line="276"/>
        <w:jc w:val="both"/>
      </w:pPr>
      <w:r>
        <w:rPr>
          <w:rFonts w:ascii="Times New Roman" w:hAnsi="Times New Roman" w:cs="Times New Roman" w:eastAsia="Times New Roman"/>
          <w:b w:val="false"/>
          <w:sz w:val="26"/>
        </w:rPr>
        <w:t xml:space="preserve">- Trong thời hạn 07 ngày sau khi hoàn tất việc tăng, giảm vốn góp của quỹ, công ty thực hiện quản lý quỹ phải thông báo cho cơ quan đăng ký kinh doanh nơi công ty đặt trụ sở chính về việc tăng, giảm vốn góp của quỹ. </w:t>
      </w:r>
    </w:p>
    <w:p>
      <w:pPr>
        <w:spacing w:after="0" w:before="0" w:lineRule="auto" w:line="276"/>
        <w:jc w:val="both"/>
      </w:pPr>
      <w:r>
        <w:rPr>
          <w:rFonts w:ascii="Times New Roman" w:hAnsi="Times New Roman" w:cs="Times New Roman" w:eastAsia="Times New Roman"/>
          <w:b w:val="false"/>
          <w:sz w:val="26"/>
        </w:rPr>
        <w:t>Thông báo việc tăng, giảm vốn quỹ đầu tư khởi nghiệp sáng tạo theo Mẫu số 02 tại Phụ lục kèm theo Nghị định số 38/2018/NĐ-CP ngày 11 tháng 3 năm 2018 của Chính phủ quy định các mẫu văn bản sử dụng trong thông báo thành lập và hoạt động của quỹ đầu tư khởi nghiệp sáng tạo.</w:t>
      </w:r>
    </w:p>
    <w:p>
      <w:pPr>
        <w:spacing w:after="0" w:before="0" w:lineRule="auto" w:line="276"/>
        <w:jc w:val="both"/>
      </w:pPr>
      <w:r>
        <w:rPr>
          <w:rFonts w:ascii="Times New Roman" w:hAnsi="Times New Roman" w:cs="Times New Roman" w:eastAsia="Times New Roman"/>
          <w:b w:val="false"/>
          <w:sz w:val="26"/>
        </w:rPr>
        <w:t>- Cơ quan đăng ký kinh doanh có trách nhiệm xem xét tính hợp lệ của thông báo và các tài liệu kèm theo trong thời hạn 15 ngày làm việc, kể từ ngày nhận được thông báo.</w:t>
      </w:r>
    </w:p>
    <w:p>
      <w:pPr>
        <w:spacing w:after="0" w:before="0" w:lineRule="auto" w:line="276"/>
        <w:jc w:val="both"/>
      </w:pPr>
      <w:r>
        <w:rPr>
          <w:rFonts w:ascii="Times New Roman" w:hAnsi="Times New Roman" w:cs="Times New Roman" w:eastAsia="Times New Roman"/>
          <w:b w:val="false"/>
          <w:sz w:val="26"/>
        </w:rPr>
        <w:t>Trường hợp thông báo và các tài liệu kèm theo là hợp lệ, cơ quan đăng ký kinh doanh có văn bản gửi công ty thực hiện quản lý quỹ về việc tăng, giảm vốn góp của quỹ đầu tư khởi nghiệp sáng tạo hợp lệ. Trường hợp thông báo và tài liệu kèm theo không hợp lệ theo quy định tại Nghị định số 38/2018/NĐ-CP ngày 11 tháng 3 năm 2018 của Chính phủ thì cơ quan đăng ký kinh doanh gửi văn bản cho công ty thực hiện quản lý quỹ biết và phải nêu rõ lý do, các yêu cầu sửa đổi, bổ sung (nếu có).</w:t>
      </w:r>
    </w:p>
    <w:p>
      <w:pPr>
        <w:spacing w:after="0" w:before="240" w:lineRule="auto" w:line="276"/>
        <w:jc w:val="both"/>
      </w:pPr>
      <w:r>
        <w:rPr>
          <w:rFonts w:ascii="Times New Roman" w:hAnsi="Times New Roman" w:cs="Times New Roman" w:eastAsia="Times New Roman"/>
          <w:b w:val="true"/>
          <w:sz w:val="26"/>
        </w:rPr>
        <w:t xml:space="preserve">Cách thức thực hiện: </w:t>
      </w:r>
    </w:p>
    <w:tbl>
      <w:tblPr>
        <w:tblW w:w="0" w:type="auto"/>
        <w:tblBorders>
          <w:top w:val="single"/>
          <w:left w:val="single"/>
          <w:bottom w:val="single"/>
          <w:right w:val="single"/>
          <w:insideH w:val="single"/>
          <w:insideV w:val="single"/>
        </w:tblBorders>
      </w:tblPr>
      <w:tr>
        <w:tc>
          <w:tcPr>
            <w:tcW w:w="1500"/>
          </w:tcPr>
          <w:p/>
          <w:p>
            <w:pPr>
              <w:spacing w:after="0" w:before="0" w:lineRule="auto" w:line="276"/>
              <w:jc w:val="center"/>
            </w:pPr>
            <w:r>
              <w:rPr>
                <w:rFonts w:ascii="Times New Roman" w:hAnsi="Times New Roman" w:cs="Times New Roman" w:eastAsia="Times New Roman"/>
                <w:b w:val="true"/>
                <w:sz w:val="26"/>
              </w:rPr>
              <w:t>Hình thức nộp</w:t>
            </w:r>
          </w:p>
        </w:tc>
        <w:tc>
          <w:tcPr>
            <w:tcW w:w="2000"/>
          </w:tcPr>
          <w:p/>
          <w:p>
            <w:pPr>
              <w:spacing w:after="0" w:before="0" w:lineRule="auto" w:line="276"/>
              <w:jc w:val="center"/>
            </w:pPr>
            <w:r>
              <w:rPr>
                <w:rFonts w:ascii="Times New Roman" w:hAnsi="Times New Roman" w:cs="Times New Roman" w:eastAsia="Times New Roman"/>
                <w:b w:val="true"/>
                <w:sz w:val="26"/>
              </w:rPr>
              <w:t>Thời hạn giải quyết</w:t>
            </w:r>
          </w:p>
        </w:tc>
        <w:tc>
          <w:tcPr>
            <w:tcW w:w="3500"/>
          </w:tcPr>
          <w:p/>
          <w:p>
            <w:pPr>
              <w:spacing w:after="0" w:before="0" w:lineRule="auto" w:line="276"/>
              <w:jc w:val="center"/>
            </w:pPr>
            <w:r>
              <w:rPr>
                <w:rFonts w:ascii="Times New Roman" w:hAnsi="Times New Roman" w:cs="Times New Roman" w:eastAsia="Times New Roman"/>
                <w:b w:val="true"/>
                <w:sz w:val="26"/>
              </w:rPr>
              <w:t>Phí, lệ phí</w:t>
            </w:r>
          </w:p>
        </w:tc>
        <w:tc>
          <w:tcPr>
            <w:tcW w:w="3000"/>
          </w:tcPr>
          <w:p/>
          <w:p>
            <w:pPr>
              <w:spacing w:after="0" w:before="0" w:lineRule="auto" w:line="276"/>
              <w:jc w:val="center"/>
            </w:pPr>
            <w:r>
              <w:rPr>
                <w:rFonts w:ascii="Times New Roman" w:hAnsi="Times New Roman" w:cs="Times New Roman" w:eastAsia="Times New Roman"/>
                <w:b w:val="true"/>
                <w:sz w:val="26"/>
              </w:rPr>
              <w:t>Mô tả</w:t>
            </w:r>
          </w:p>
        </w:tc>
      </w:tr>
      <w:tr>
        <w:tc>
          <w:p/>
          <w:p>
            <w:pPr>
              <w:spacing w:after="0" w:before="0" w:lineRule="auto" w:line="276"/>
              <w:jc w:val="left"/>
            </w:pPr>
            <w:r>
              <w:rPr>
                <w:rFonts w:ascii="Times New Roman" w:hAnsi="Times New Roman" w:cs="Times New Roman" w:eastAsia="Times New Roman"/>
                <w:b w:val="false"/>
                <w:sz w:val="26"/>
              </w:rPr>
              <w:t>Trực tiếp</w:t>
            </w:r>
          </w:p>
        </w:tc>
        <w:tc>
          <w:p/>
          <w:p>
            <w:pPr>
              <w:spacing w:after="0" w:before="0" w:lineRule="auto" w:line="276"/>
              <w:jc w:val="left"/>
            </w:pPr>
            <w:r>
              <w:rPr>
                <w:rFonts w:ascii="Times New Roman" w:hAnsi="Times New Roman" w:cs="Times New Roman" w:eastAsia="Times New Roman"/>
                <w:b w:val="false"/>
                <w:sz w:val="26"/>
              </w:rPr>
              <w:t xml:space="preserve">Cơ quan đăng ký kinh doanh có trách nhiệm xem xét tính hợp lệ của thông báo và các tài liệu kèm theo trong thời hạn 15 ngày làm việc, kể từ ngày nhận được thông báo. </w:t>
            </w:r>
          </w:p>
        </w:tc>
        <w:tc>
          <w:p/>
          <w:p>
            <w:pPr>
              <w:spacing w:after="0" w:before="0" w:lineRule="auto" w:line="276"/>
              <w:jc w:val="left"/>
            </w:pPr>
            <w:r>
              <w:rPr>
                <w:rFonts w:ascii="Times New Roman" w:hAnsi="Times New Roman" w:cs="Times New Roman" w:eastAsia="Times New Roman"/>
                <w:b w:val="false"/>
                <w:sz w:val="26"/>
              </w:rPr>
              <w:t>Lệ phí : 0 Đồng</w:t>
              <w:t xml:space="preserve"> (Không có)</w:t>
            </w:r>
          </w:p>
        </w:tc>
        <w:tc>
          <w:p/>
        </w:tc>
      </w:tr>
      <w:tr>
        <w:tc>
          <w:p/>
          <w:p>
            <w:pPr>
              <w:spacing w:after="0" w:before="0" w:lineRule="auto" w:line="276"/>
              <w:jc w:val="left"/>
            </w:pPr>
            <w:r>
              <w:rPr>
                <w:rFonts w:ascii="Times New Roman" w:hAnsi="Times New Roman" w:cs="Times New Roman" w:eastAsia="Times New Roman"/>
                <w:b w:val="false"/>
                <w:sz w:val="26"/>
              </w:rPr>
              <w:t>Trực tuyến</w:t>
            </w:r>
          </w:p>
        </w:tc>
        <w:tc>
          <w:p/>
          <w:p>
            <w:pPr>
              <w:spacing w:after="0" w:before="0" w:lineRule="auto" w:line="276"/>
              <w:jc w:val="left"/>
            </w:pPr>
            <w:r>
              <w:rPr>
                <w:rFonts w:ascii="Times New Roman" w:hAnsi="Times New Roman" w:cs="Times New Roman" w:eastAsia="Times New Roman"/>
                <w:b w:val="false"/>
                <w:sz w:val="26"/>
              </w:rPr>
              <w:t xml:space="preserve">Cơ quan đăng ký kinh doanh có trách nhiệm xem xét tính hợp lệ của thông báo và các tài liệu kèm theo trong thời hạn 15 ngày làm việc, kể từ ngày nhận được thông báo. </w:t>
            </w:r>
          </w:p>
        </w:tc>
        <w:tc>
          <w:p/>
          <w:p>
            <w:pPr>
              <w:spacing w:after="0" w:before="0" w:lineRule="auto" w:line="276"/>
              <w:jc w:val="left"/>
            </w:pPr>
            <w:r>
              <w:rPr>
                <w:rFonts w:ascii="Times New Roman" w:hAnsi="Times New Roman" w:cs="Times New Roman" w:eastAsia="Times New Roman"/>
                <w:b w:val="false"/>
                <w:sz w:val="26"/>
              </w:rPr>
              <w:t>Lệ phí : 0 Đồng</w:t>
              <w:t xml:space="preserve"> (Không có)</w:t>
            </w:r>
          </w:p>
        </w:tc>
        <w:tc>
          <w:p/>
          <w:p>
            <w:pPr>
              <w:spacing w:after="0" w:before="0" w:lineRule="auto" w:line="276"/>
              <w:jc w:val="left"/>
            </w:pPr>
            <w:r>
              <w:rPr>
                <w:rFonts w:ascii="Times New Roman" w:hAnsi="Times New Roman" w:cs="Times New Roman" w:eastAsia="Times New Roman"/>
                <w:b w:val="false"/>
                <w:sz w:val="26"/>
              </w:rPr>
              <w:t>Địa chỉ trực tuyến: https://dichvucong.thanhhoa.gov.vn (toàn trình)</w:t>
            </w:r>
          </w:p>
        </w:tc>
      </w:tr>
      <w:tr>
        <w:tc>
          <w:p/>
          <w:p>
            <w:pPr>
              <w:spacing w:after="0" w:before="0" w:lineRule="auto" w:line="276"/>
              <w:jc w:val="left"/>
            </w:pPr>
            <w:r>
              <w:rPr>
                <w:rFonts w:ascii="Times New Roman" w:hAnsi="Times New Roman" w:cs="Times New Roman" w:eastAsia="Times New Roman"/>
                <w:b w:val="false"/>
                <w:sz w:val="26"/>
              </w:rPr>
              <w:t>Dịch vụ bưu chính</w:t>
            </w:r>
          </w:p>
        </w:tc>
        <w:tc>
          <w:p/>
          <w:p>
            <w:pPr>
              <w:spacing w:after="0" w:before="0" w:lineRule="auto" w:line="276"/>
              <w:jc w:val="left"/>
            </w:pPr>
            <w:r>
              <w:rPr>
                <w:rFonts w:ascii="Times New Roman" w:hAnsi="Times New Roman" w:cs="Times New Roman" w:eastAsia="Times New Roman"/>
                <w:b w:val="false"/>
                <w:sz w:val="26"/>
              </w:rPr>
              <w:t xml:space="preserve">Cơ quan đăng ký kinh doanh có trách nhiệm xem xét tính hợp lệ của thông báo và các tài liệu kèm theo trong thời hạn 15 ngày làm việc, kể từ ngày nhận được thông báo. </w:t>
            </w:r>
          </w:p>
        </w:tc>
        <w:tc>
          <w:p/>
          <w:p>
            <w:pPr>
              <w:spacing w:after="0" w:before="0" w:lineRule="auto" w:line="276"/>
              <w:jc w:val="left"/>
            </w:pPr>
            <w:r>
              <w:rPr>
                <w:rFonts w:ascii="Times New Roman" w:hAnsi="Times New Roman" w:cs="Times New Roman" w:eastAsia="Times New Roman"/>
                <w:b w:val="false"/>
                <w:sz w:val="26"/>
              </w:rPr>
              <w:t>Lệ phí : 0 Đồng</w:t>
              <w:t xml:space="preserve"> (Không có)</w:t>
            </w:r>
          </w:p>
        </w:tc>
        <w:tc>
          <w:p/>
        </w:tc>
      </w:tr>
    </w:tbl>
    <w:p>
      <w:pPr>
        <w:spacing w:after="0" w:before="240" w:lineRule="auto" w:line="276"/>
        <w:jc w:val="both"/>
      </w:pPr>
      <w:r>
        <w:rPr>
          <w:rFonts w:ascii="Times New Roman" w:hAnsi="Times New Roman" w:cs="Times New Roman" w:eastAsia="Times New Roman"/>
          <w:b w:val="true"/>
          <w:sz w:val="26"/>
        </w:rPr>
        <w:t xml:space="preserve">Thành phần hồ sơ: </w:t>
      </w:r>
    </w:p>
    <w:p>
      <w:pPr>
        <w:shd w:val="clear" w:color="auto" w:fill="F2F6F9"/>
        <w:spacing w:after="0" w:before="120" w:lineRule="auto" w:line="276"/>
        <w:jc w:val="both"/>
      </w:pPr>
      <w:r>
        <w:rPr>
          <w:rFonts w:ascii="Times New Roman" w:hAnsi="Times New Roman" w:cs="Times New Roman" w:eastAsia="Times New Roman"/>
          <w:b w:val="true"/>
          <w:sz w:val="26"/>
        </w:rPr>
        <w:t>Bao gồm</w:t>
      </w:r>
    </w:p>
    <w:tbl>
      <w:tblPr>
        <w:tblW w:w="0" w:type="auto"/>
        <w:tblBorders>
          <w:top w:val="single"/>
          <w:left w:val="single"/>
          <w:bottom w:val="single"/>
          <w:right w:val="single"/>
          <w:insideH w:val="single"/>
          <w:insideV w:val="single"/>
        </w:tblBorders>
      </w:tblPr>
      <w:tr>
        <w:tc>
          <w:tcPr>
            <w:tcW w:w="6000"/>
          </w:tcPr>
          <w:p/>
          <w:p>
            <w:pPr>
              <w:spacing w:after="0" w:before="0" w:lineRule="auto" w:line="276"/>
              <w:jc w:val="center"/>
            </w:pPr>
            <w:r>
              <w:rPr>
                <w:rFonts w:ascii="Times New Roman" w:hAnsi="Times New Roman" w:cs="Times New Roman" w:eastAsia="Times New Roman"/>
                <w:b w:val="true"/>
                <w:sz w:val="26"/>
              </w:rPr>
              <w:t>Tên giấy tờ</w:t>
            </w:r>
          </w:p>
        </w:tc>
        <w:tc>
          <w:tcPr>
            <w:tcW w:w="2000"/>
          </w:tcPr>
          <w:p/>
          <w:p>
            <w:pPr>
              <w:spacing w:after="0" w:before="0" w:lineRule="auto" w:line="276"/>
              <w:jc w:val="center"/>
            </w:pPr>
            <w:r>
              <w:rPr>
                <w:rFonts w:ascii="Times New Roman" w:hAnsi="Times New Roman" w:cs="Times New Roman" w:eastAsia="Times New Roman"/>
                <w:b w:val="true"/>
                <w:sz w:val="26"/>
              </w:rPr>
              <w:t>Mẫu đơn, tờ khai</w:t>
            </w:r>
          </w:p>
        </w:tc>
        <w:tc>
          <w:tcPr>
            <w:tcW w:w="2000"/>
          </w:tcPr>
          <w:p/>
          <w:p>
            <w:pPr>
              <w:spacing w:after="0" w:before="0" w:lineRule="auto" w:line="276"/>
              <w:jc w:val="center"/>
            </w:pPr>
            <w:r>
              <w:rPr>
                <w:rFonts w:ascii="Times New Roman" w:hAnsi="Times New Roman" w:cs="Times New Roman" w:eastAsia="Times New Roman"/>
                <w:b w:val="true"/>
                <w:sz w:val="26"/>
              </w:rPr>
              <w:t>Số lượng</w:t>
            </w:r>
          </w:p>
        </w:tc>
      </w:tr>
      <w:tr>
        <w:tc>
          <w:p/>
          <w:p>
            <w:pPr>
              <w:spacing w:after="0" w:before="0" w:lineRule="auto" w:line="276"/>
              <w:jc w:val="left"/>
            </w:pPr>
            <w:r>
              <w:rPr>
                <w:rFonts w:ascii="Times New Roman" w:hAnsi="Times New Roman" w:cs="Times New Roman" w:eastAsia="Times New Roman"/>
                <w:b w:val="false"/>
                <w:sz w:val="26"/>
              </w:rPr>
              <w:t>a) Thông báo việc tăng, giảm vốn quỹ đầu tư khởi nghiệp sáng tạo theo Mẫu số 02 tại Phụ lục kèm theo Nghị định số 38/2018/NĐ-CP ngày 11 tháng 3 năm 2018 của Chính phủ quy định các mẫu văn bản sử dụng trong thông báo thành lập và hoạt động của quỹ đầu tư khởi nghiệp sáng tạo.</w:t>
            </w:r>
          </w:p>
        </w:tc>
        <w:tc>
          <w:p/>
          <w:p>
            <w:pPr>
              <w:spacing w:after="0" w:before="0" w:lineRule="auto" w:line="276"/>
              <w:jc w:val="left"/>
            </w:pPr>
            <w:r>
              <w:rPr>
                <w:rFonts w:ascii="Times New Roman" w:hAnsi="Times New Roman" w:cs="Times New Roman" w:eastAsia="Times New Roman"/>
                <w:b w:val="false"/>
                <w:sz w:val="26"/>
              </w:rPr>
              <w:t>Mau 2_ Tang giam von gop vao quy.docx</w:t>
            </w:r>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b) Biên bản họp và nghị quyết của Đại hội nhà đầu tư về việc tăng, giảm vốn và các tài liệu liên quan;</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c) Điều lệ quỹ sửa đổi;</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d) Biên bản thỏa thuận góp vốn và danh sách các nhà đầu tư góp vốn, số vốn góp, tỷ lệ sở hữu vốn góp trước và sau khi tăng, giảm vốn góp của quỹ;</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đ) Giấy chứng nhận của công ty thực hiện quản lý quỹ về Phần vốn đã góp thêm, danh Mục tài sản góp vào quỹ. Trường hợp giảm vốn: Giấy xác nhận của công ty thực hiện quản lý quỹ về việc phân bổ tài sản</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bl>
    <w:p>
      <w:pPr>
        <w:spacing w:after="0" w:before="240" w:lineRule="auto" w:line="276"/>
        <w:jc w:val="both"/>
      </w:pPr>
      <w:r>
        <w:rPr>
          <w:rFonts w:ascii="Times New Roman" w:hAnsi="Times New Roman" w:cs="Times New Roman" w:eastAsia="Times New Roman"/>
          <w:b w:val="true"/>
          <w:sz w:val="26"/>
        </w:rPr>
        <w:t xml:space="preserve">Đối tượng thực hiện: </w:t>
      </w:r>
      <w:r>
        <w:rPr>
          <w:rFonts w:ascii="Times New Roman" w:hAnsi="Times New Roman" w:cs="Times New Roman" w:eastAsia="Times New Roman"/>
          <w:b w:val="false"/>
          <w:sz w:val="26"/>
        </w:rPr>
        <w:t>Tổ chức (không bao gồm doanh nghiệp, HTX)</w:t>
      </w:r>
    </w:p>
    <w:p>
      <w:pPr>
        <w:spacing w:after="0" w:before="0" w:lineRule="auto" w:line="276"/>
        <w:jc w:val="both"/>
      </w:pPr>
      <w:r>
        <w:rPr>
          <w:rFonts w:ascii="Times New Roman" w:hAnsi="Times New Roman" w:cs="Times New Roman" w:eastAsia="Times New Roman"/>
          <w:b w:val="true"/>
          <w:sz w:val="26"/>
        </w:rPr>
        <w:t xml:space="preserve">Cơ quan thực hiện: </w:t>
      </w:r>
      <w:r>
        <w:rPr>
          <w:rFonts w:ascii="Times New Roman" w:hAnsi="Times New Roman" w:cs="Times New Roman" w:eastAsia="Times New Roman"/>
          <w:b w:val="false"/>
          <w:sz w:val="26"/>
        </w:rPr>
        <w:t>Phòng Đăng ký kinh doanh</w:t>
      </w:r>
    </w:p>
    <w:p>
      <w:pPr>
        <w:spacing w:after="0" w:before="0" w:lineRule="auto" w:line="276"/>
        <w:jc w:val="both"/>
      </w:pPr>
      <w:r>
        <w:rPr>
          <w:rFonts w:ascii="Times New Roman" w:hAnsi="Times New Roman" w:cs="Times New Roman" w:eastAsia="Times New Roman"/>
          <w:b w:val="true"/>
          <w:sz w:val="26"/>
        </w:rPr>
        <w:t xml:space="preserve">Cơ quan có thẩm quyền: </w:t>
      </w:r>
      <w:r>
        <w:rPr>
          <w:rFonts w:ascii="Times New Roman" w:hAnsi="Times New Roman" w:cs="Times New Roman" w:eastAsia="Times New Roman"/>
          <w:b w:val="false"/>
          <w:sz w:val="26"/>
        </w:rPr>
        <w:t>Phòng Đăng ký kinh doanh</w:t>
      </w:r>
    </w:p>
    <w:p>
      <w:pPr>
        <w:spacing w:after="0" w:before="0" w:lineRule="auto" w:line="276"/>
        <w:jc w:val="both"/>
      </w:pPr>
      <w:r>
        <w:rPr>
          <w:rFonts w:ascii="Times New Roman" w:hAnsi="Times New Roman" w:cs="Times New Roman" w:eastAsia="Times New Roman"/>
          <w:b w:val="true"/>
          <w:sz w:val="26"/>
        </w:rPr>
        <w:t xml:space="preserve">Địa chỉ tiếp nhận HS: </w:t>
      </w:r>
      <w:r>
        <w:rPr>
          <w:rFonts w:ascii="Times New Roman" w:hAnsi="Times New Roman" w:cs="Times New Roman" w:eastAsia="Times New Roman"/>
          <w:b w:val="false"/>
          <w:sz w:val="26"/>
        </w:rPr>
        <w:t>Bộ phận tiếp nhận và trả kết quả của Sở Kế hoạch và Đầu tư tại Trung tâm Phục vụ Hành chính công tỉnh Thanh Hóa (Số 28 Đại lộ Lê Lợi, phường Điện Biên, thành phố Thanh Hóa); Địa chỉ trực tuyến: https://dichvucong.thanhhoa.gov.vn (toàn trình)</w:t>
      </w:r>
    </w:p>
    <w:p>
      <w:pPr>
        <w:spacing w:after="0" w:before="0" w:lineRule="auto" w:line="276"/>
        <w:jc w:val="both"/>
      </w:pPr>
      <w:r>
        <w:rPr>
          <w:rFonts w:ascii="Times New Roman" w:hAnsi="Times New Roman" w:cs="Times New Roman" w:eastAsia="Times New Roman"/>
          <w:b w:val="true"/>
          <w:sz w:val="26"/>
        </w:rPr>
        <w:t xml:space="preserve">Cơ quan được ủy quyền: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Cơ quan phối hợp: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Kết quả thực hiện: </w:t>
      </w:r>
      <w:r>
        <w:rPr>
          <w:rFonts w:ascii="Times New Roman" w:hAnsi="Times New Roman" w:cs="Times New Roman" w:eastAsia="Times New Roman"/>
          <w:b w:val="false"/>
          <w:sz w:val="26"/>
        </w:rPr>
        <w:t>Văn bản gửi công ty thực hiện quản lý quỹ về việc tăng, giảm vốn góp của quỹ hợp lệ và hồ sơ doanh nghiệp được cập nhật thông tin trên Cổng thông tin quốc gia về đăng ký doanh nghiệp</w:t>
      </w:r>
    </w:p>
    <w:p>
      <w:pPr>
        <w:spacing w:after="0" w:before="0" w:lineRule="auto" w:line="276"/>
        <w:jc w:val="both"/>
      </w:pPr>
      <w:r>
        <w:rPr>
          <w:rFonts w:ascii="Times New Roman" w:hAnsi="Times New Roman" w:cs="Times New Roman" w:eastAsia="Times New Roman"/>
          <w:b w:val="true"/>
          <w:sz w:val="26"/>
        </w:rPr>
        <w:t xml:space="preserve">Căn cứ pháp lý: </w:t>
      </w:r>
    </w:p>
    <w:tbl>
      <w:tblPr>
        <w:tblW w:w="0" w:type="auto"/>
        <w:tblBorders>
          <w:top w:val="single"/>
          <w:left w:val="single"/>
          <w:bottom w:val="single"/>
          <w:right w:val="single"/>
          <w:insideH w:val="single"/>
          <w:insideV w:val="single"/>
        </w:tblBorders>
      </w:tblPr>
      <w:tr>
        <w:tc>
          <w:tcPr>
            <w:tcW w:w="2000"/>
          </w:tcPr>
          <w:p/>
          <w:p>
            <w:pPr>
              <w:spacing w:after="0" w:before="0" w:lineRule="auto" w:line="276"/>
              <w:jc w:val="center"/>
            </w:pPr>
            <w:r>
              <w:rPr>
                <w:rFonts w:ascii="Times New Roman" w:hAnsi="Times New Roman" w:cs="Times New Roman" w:eastAsia="Times New Roman"/>
                <w:b w:val="true"/>
                <w:sz w:val="26"/>
              </w:rPr>
              <w:t>Số ký hiệu</w:t>
            </w:r>
          </w:p>
        </w:tc>
        <w:tc>
          <w:tcPr>
            <w:tcW w:w="3500"/>
          </w:tcPr>
          <w:p/>
          <w:p>
            <w:pPr>
              <w:spacing w:after="0" w:before="0" w:lineRule="auto" w:line="276"/>
              <w:jc w:val="center"/>
            </w:pPr>
            <w:r>
              <w:rPr>
                <w:rFonts w:ascii="Times New Roman" w:hAnsi="Times New Roman" w:cs="Times New Roman" w:eastAsia="Times New Roman"/>
                <w:b w:val="true"/>
                <w:sz w:val="26"/>
              </w:rPr>
              <w:t>Trích yếu</w:t>
            </w:r>
          </w:p>
        </w:tc>
        <w:tc>
          <w:tcPr>
            <w:tcW w:w="1500"/>
          </w:tcPr>
          <w:p/>
          <w:p>
            <w:pPr>
              <w:spacing w:after="0" w:before="0" w:lineRule="auto" w:line="276"/>
              <w:jc w:val="center"/>
            </w:pPr>
            <w:r>
              <w:rPr>
                <w:rFonts w:ascii="Times New Roman" w:hAnsi="Times New Roman" w:cs="Times New Roman" w:eastAsia="Times New Roman"/>
                <w:b w:val="true"/>
                <w:sz w:val="26"/>
              </w:rPr>
              <w:t>Ngày ban hành</w:t>
            </w:r>
          </w:p>
        </w:tc>
        <w:tc>
          <w:tcPr>
            <w:tcW w:w="3000"/>
          </w:tcPr>
          <w:p/>
          <w:p>
            <w:pPr>
              <w:spacing w:after="0" w:before="0" w:lineRule="auto" w:line="276"/>
              <w:jc w:val="center"/>
            </w:pPr>
            <w:r>
              <w:rPr>
                <w:rFonts w:ascii="Times New Roman" w:hAnsi="Times New Roman" w:cs="Times New Roman" w:eastAsia="Times New Roman"/>
                <w:b w:val="true"/>
                <w:sz w:val="26"/>
              </w:rPr>
              <w:t>Cơ quan ban hành</w:t>
            </w:r>
          </w:p>
        </w:tc>
      </w:tr>
      <w:tr>
        <w:tc>
          <w:p/>
          <w:p>
            <w:pPr>
              <w:spacing w:after="0" w:before="0" w:lineRule="auto" w:line="276"/>
              <w:jc w:val="left"/>
            </w:pPr>
            <w:r>
              <w:rPr>
                <w:rFonts w:ascii="Times New Roman" w:hAnsi="Times New Roman" w:cs="Times New Roman" w:eastAsia="Times New Roman"/>
                <w:b w:val="false"/>
                <w:sz w:val="26"/>
              </w:rPr>
              <w:t>04/2017/QH14	</w:t>
            </w:r>
          </w:p>
        </w:tc>
        <w:tc>
          <w:p/>
          <w:p>
            <w:pPr>
              <w:spacing w:after="0" w:before="0" w:lineRule="auto" w:line="276"/>
              <w:jc w:val="left"/>
            </w:pPr>
            <w:r>
              <w:rPr>
                <w:rFonts w:ascii="Times New Roman" w:hAnsi="Times New Roman" w:cs="Times New Roman" w:eastAsia="Times New Roman"/>
                <w:b w:val="false"/>
                <w:sz w:val="26"/>
              </w:rPr>
              <w:t>hỗ trợ doanh nghiệp nhỏ và vừa</w:t>
            </w:r>
          </w:p>
        </w:tc>
        <w:tc>
          <w:p/>
          <w:p>
            <w:pPr>
              <w:spacing w:after="0" w:before="0" w:lineRule="auto" w:line="276"/>
              <w:jc w:val="left"/>
            </w:pPr>
            <w:r>
              <w:rPr>
                <w:rFonts w:ascii="Times New Roman" w:hAnsi="Times New Roman" w:cs="Times New Roman" w:eastAsia="Times New Roman"/>
                <w:b w:val="false"/>
                <w:sz w:val="26"/>
              </w:rPr>
              <w:t>12-06-2017</w:t>
            </w:r>
          </w:p>
        </w:tc>
        <w:tc>
          <w:p/>
          <w:p>
            <w:pPr>
              <w:spacing w:after="0" w:before="0" w:lineRule="auto" w:line="276"/>
              <w:jc w:val="left"/>
            </w:pPr>
            <w:r>
              <w:rPr>
                <w:rFonts w:ascii="Times New Roman" w:hAnsi="Times New Roman" w:cs="Times New Roman" w:eastAsia="Times New Roman"/>
                <w:b w:val="false"/>
                <w:sz w:val="26"/>
              </w:rPr>
              <w:t>Quốc Hội</w:t>
            </w:r>
          </w:p>
        </w:tc>
      </w:tr>
      <w:tr>
        <w:tc>
          <w:p/>
          <w:p>
            <w:pPr>
              <w:spacing w:after="0" w:before="0" w:lineRule="auto" w:line="276"/>
              <w:jc w:val="left"/>
            </w:pPr>
            <w:r>
              <w:rPr>
                <w:rFonts w:ascii="Times New Roman" w:hAnsi="Times New Roman" w:cs="Times New Roman" w:eastAsia="Times New Roman"/>
                <w:b w:val="false"/>
                <w:sz w:val="26"/>
              </w:rPr>
              <w:t>38/2018/NĐ-CP	</w:t>
            </w:r>
          </w:p>
        </w:tc>
        <w:tc>
          <w:p/>
          <w:p>
            <w:pPr>
              <w:spacing w:after="0" w:before="0" w:lineRule="auto" w:line="276"/>
              <w:jc w:val="left"/>
            </w:pPr>
            <w:r>
              <w:rPr>
                <w:rFonts w:ascii="Times New Roman" w:hAnsi="Times New Roman" w:cs="Times New Roman" w:eastAsia="Times New Roman"/>
                <w:b w:val="false"/>
                <w:sz w:val="26"/>
              </w:rPr>
              <w:t>Quy định chi tiết về đầu tư cho doanh nghiệp nhỏ và vừa khởi nghiệp sáng tạo</w:t>
            </w:r>
          </w:p>
        </w:tc>
        <w:tc>
          <w:p/>
          <w:p>
            <w:pPr>
              <w:spacing w:after="0" w:before="0" w:lineRule="auto" w:line="276"/>
              <w:jc w:val="left"/>
            </w:pPr>
            <w:r>
              <w:rPr>
                <w:rFonts w:ascii="Times New Roman" w:hAnsi="Times New Roman" w:cs="Times New Roman" w:eastAsia="Times New Roman"/>
                <w:b w:val="false"/>
                <w:sz w:val="26"/>
              </w:rPr>
              <w:t>11-03-2018</w:t>
            </w:r>
          </w:p>
        </w:tc>
        <w:tc>
          <w:p/>
          <w:p>
            <w:pPr>
              <w:spacing w:after="0" w:before="0" w:lineRule="auto" w:line="276"/>
              <w:jc w:val="left"/>
            </w:pPr>
            <w:r>
              <w:rPr>
                <w:rFonts w:ascii="Times New Roman" w:hAnsi="Times New Roman" w:cs="Times New Roman" w:eastAsia="Times New Roman"/>
                <w:b w:val="false"/>
                <w:sz w:val="26"/>
              </w:rPr>
              <w:t>Chính phủ</w:t>
            </w:r>
          </w:p>
        </w:tc>
      </w:tr>
    </w:tbl>
    <w:p>
      <w:pPr>
        <w:spacing w:after="0" w:before="240" w:lineRule="auto" w:line="276"/>
        <w:jc w:val="both"/>
      </w:pPr>
      <w:r>
        <w:rPr>
          <w:rFonts w:ascii="Times New Roman" w:hAnsi="Times New Roman" w:cs="Times New Roman" w:eastAsia="Times New Roman"/>
          <w:b w:val="true"/>
          <w:sz w:val="26"/>
        </w:rPr>
        <w:t xml:space="preserve">Yêu cầu, điều kiện thực hiện: </w:t>
      </w:r>
      <w:r>
        <w:rPr>
          <w:rFonts w:ascii="Times New Roman" w:hAnsi="Times New Roman" w:cs="Times New Roman" w:eastAsia="Times New Roman"/>
          <w:b w:val="false"/>
          <w:sz w:val="26"/>
        </w:rPr>
        <w:t>Văn bản gửi công ty thực hiện quản lý quỹ về việc tăng, giảm vốn góp của quỹ hợp lệ và hồ sơ doanh nghiệp được cập nhật thông tin trên Cổng thông tin quốc gia về đăng ký doanh nghiệp;</w:t>
      </w:r>
    </w:p>
    <w:p>
      <w:pPr>
        <w:spacing w:after="0" w:before="0" w:lineRule="auto" w:line="276"/>
        <w:jc w:val="both"/>
      </w:pPr>
      <w:r>
        <w:rPr>
          <w:rFonts w:ascii="Times New Roman" w:hAnsi="Times New Roman" w:cs="Times New Roman" w:eastAsia="Times New Roman"/>
          <w:b w:val="true"/>
          <w:sz w:val="26"/>
        </w:rPr>
        <w:t xml:space="preserve">Từ khóa: </w:t>
      </w:r>
      <w:r>
        <w:rPr>
          <w:rFonts w:ascii="Times New Roman" w:hAnsi="Times New Roman" w:cs="Times New Roman" w:eastAsia="Times New Roman"/>
          <w:b w:val="false"/>
          <w:sz w:val="26"/>
        </w:rPr>
        <w:t>Thông báo tăng, giảm, vốn góp, của quỹ đầu tư khởi nghiệp sáng tạo</w:t>
      </w:r>
    </w:p>
    <w:p>
      <w:pPr>
        <w:spacing w:after="0" w:before="0" w:lineRule="auto" w:line="276"/>
        <w:jc w:val="both"/>
      </w:pPr>
      <w:r>
        <w:rPr>
          <w:rFonts w:ascii="Times New Roman" w:hAnsi="Times New Roman" w:cs="Times New Roman" w:eastAsia="Times New Roman"/>
          <w:b w:val="true"/>
          <w:sz w:val="26"/>
        </w:rPr>
        <w:t xml:space="preserve">Mô tả: </w:t>
      </w:r>
      <w:r>
        <w:rPr>
          <w:rFonts w:ascii="Times New Roman" w:hAnsi="Times New Roman" w:cs="Times New Roman" w:eastAsia="Times New Roman"/>
          <w:b w:val="false"/>
          <w:sz w:val="26"/>
        </w:rPr>
        <w:t>Không có thông tin</w:t>
      </w:r>
    </w:p>
    <w:sectPr>
      <w:pgMar w:left="1702" w:top="1137" w:right="1137" w:bottom="1137"/>
    </w:sectPr>
  </w:body>
</w:document>
</file>

<file path=word/settings.xml><?xml version="1.0" encoding="utf-8"?>
<w:settings xmlns:w="http://schemas.openxmlformats.org/wordprocessingml/2006/main"/>
</file>

<file path=word/_rels/document.xml.rels><?xml version="1.0" encoding="UTF-8" standalone="no"?>
<Relationships xmlns="http://schemas.openxmlformats.org/package/2006/relationships">
<Relationship Id="rId1" Target="settings.xml" Type="http://schemas.openxmlformats.org/officeDocument/2006/relationships/settings"/>
</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2024-03-28T18:58:39Z</dcterms:created>
  <dc:creator>Apache POI</dc:creator>
</cp:coreProperties>
</file>