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1.000373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0002</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xác nhận đăng ký hoạt động xét tặng giải thưởng chất lượng sản phẩm, hàng hoá của tổ chức, cá nhân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Tiêu chuẩn đo lường chất lượng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Tiếp nhận hồ sơ
Tổ chức, cá nhân có nhu cầu tham gia hoạt cấp Giấy xác nhận đăng ký lĩnh vực hoạt động xét tặng giải thưởng chất lượng sản phẩm, hàng hoá của tổ chức, cá nhân chuẩn bị hồ sơ theo quy định, nộp hồ sơ trực tiếp hoặc gửi qua bưu điện về Sở Khoa học và Công nghệ (đối với các giải thưởng do tổ chức, cá nhân tổ chức trên địa bàn tỉnh, thành phố).
Thời gian tiếp nhận hồ sơ: Sáng từ 08 giờ đến 12 giờ và chiều từ 13 giờ đến 17 giờ vào ngày làm việc trong tuần (trừ ngày thứ bảy, chủ nhật và ngày lễ).</w:t>
      </w:r>
    </w:p>
    <w:p>
      <w:pPr>
        <w:spacing w:after="0" w:before="0" w:lineRule="auto" w:line="276"/>
        <w:jc w:val="both"/>
      </w:pPr>
      <w:r>
        <w:rPr>
          <w:rFonts w:ascii="Times New Roman" w:hAnsi="Times New Roman" w:cs="Times New Roman" w:eastAsia="Times New Roman"/>
          <w:b w:val="false"/>
          <w:sz w:val="26"/>
        </w:rPr>
        <w:t>Bước 2: Xử lý hồ sơ
Sở Khoa học và Công nghệ tiếp nhận hồ sơ, xem xét, thẩm định theo quy định:
- Trường hợp hồ sơ đầy đủ và hợp lệ: Sở Khoa học và Công nghệ tổ chức thẩm xét hồ sơ vàcấp Giấy xác nhận.
- Trường hợp hồ sơ không đáp ứng điều kiện quy định, Sở Khoa học và Công nghệ thông báo từ chối cấp Giấy xác nhận và nêu rõ lý do bằng văn bản.</w:t>
      </w:r>
    </w:p>
    <w:p>
      <w:pPr>
        <w:spacing w:after="0" w:before="0" w:lineRule="auto" w:line="276"/>
        <w:jc w:val="both"/>
      </w:pPr>
      <w:r>
        <w:rPr>
          <w:rFonts w:ascii="Times New Roman" w:hAnsi="Times New Roman" w:cs="Times New Roman" w:eastAsia="Times New Roman"/>
          <w:b w:val="false"/>
          <w:sz w:val="26"/>
        </w:rPr>
        <w:t>Bước 3: Trả kết quả
Trả kết quả trực tiếp tại trụ sở Tổng cục Sở Khoa học và Công nghệ hoặc theo đường bưu điện.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15 ngày làm việc kể từ khi nhận được hồ sơ đầy đủ và hợp lệ, Sở Khoa học và Công nghệ tiến hành thẩm xét hồ sơ, nếu đáp ứng điều kiện quy định, đơn vị tổ chức xét thưởng được cấp Giấy xác nhận.
- Trường hợp hồ sơ không đáp ứng yêu cầu quy định để được cấp Giấy xác nhận, đơn vị tổ chức xét thưởng sẽ được thông báo lý do bằng văn bản.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15 ngày làm việc kể từ khi nhận được hồ sơ đầy đủ và hợp lệ, Sở Khoa học và Công nghệ tiến hành thẩm xét hồ sơ, nếu đáp ứng điều kiện quy định, đơn vị tổ chức xét thưởng được cấp Giấy xác nhận.
- Trường hợp hồ sơ không đáp ứng yêu cầu quy định để được cấp Giấy xác nhận, đơn vị tổ chức xét thưởng sẽ được thông báo lý do bằng văn bản.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đăng ký hoạt động xét tặng giải thưởng chất lượng sản phẩm, hàng hoá;</w:t>
            </w:r>
          </w:p>
        </w:tc>
        <w:tc>
          <w:p/>
          <w:p>
            <w:pPr>
              <w:spacing w:after="0" w:before="0" w:lineRule="auto" w:line="276"/>
              <w:jc w:val="left"/>
            </w:pPr>
            <w:r>
              <w:rPr>
                <w:rFonts w:ascii="Times New Roman" w:hAnsi="Times New Roman" w:cs="Times New Roman" w:eastAsia="Times New Roman"/>
                <w:b w:val="false"/>
                <w:sz w:val="26"/>
              </w:rPr>
              <w:t>GIẤY ĐĂNG KÝ HOẠT ĐỘNG XÉT TẶNG GIAI THUONG CHAT LUONG SAN PHAM, HANG HOA.doc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Quyết định thành lập hoặc bản sao Giấy phép kinh doanh/Giấy đăng ký hoạt động (đối với tổ chức);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Văn bản, quyết định của cơ quan quản lý nhà nước có thẩm quyền cho phép tổ chức giải thưởng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Danh sách cán bộ, nhân viên tham gia tổ chức hoạt động xét tặng giải thưởng (tên, chức danh, trình độ, kinh nghiệm tổ chức hoạt động xét tặng giải thưởng chất lượng sản phẩm, hàng hoá, Quyết định tuyển dụng/Hợp đồng lao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Kế hoạch và thời gian xét tặng giải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Quy chế xét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Dự kiến danh sách thành viên Hội đồng xét thưởng (trình độ, chuyên môn);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về khả năng tài chính để bảo đảm tổ chức thành công hoạt động xét tặng giải thưởng, gồm các nội dung sau: dự kiến kinh phí chi cho toàn bộ hoạt động xét tặng giải thưởng, mức chi cho từng hoạt động và nguồn kinh phí sử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hồ sơ mời đăng ký để được xét tặng giải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Khoa học và Công nghệ</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Giấy xác nhận đăng ký hoạt động xét tặng giải thưởng chất lượng sản phẩm, hàng hóa. - Hiệu lực của Giấy xác nhận như sau: + Đối với các giải thưởng được tổ chức xét tặng định kỳ hàng năm, Giấy xác nhận có hiệu lực không quá 03 năm. Trường hợp Giấy xác nhận hết hiệu lực, đơn vị muốn tiếp tục tổ chức hoạt động xét tặng giải thưởng, phải lập hồ sơ đăng ký gửi về Sở Khoa học và Công nghệ để được cấp lại Giấy xác nhận. + Đối với các giải thưởng không tổ chức định kỳ, Giấy xác nhận có hiệu lực cho từng trường hợp tổ chức xét tặng.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39/2013/QH13</w:t>
            </w:r>
          </w:p>
        </w:tc>
        <w:tc>
          <w:p/>
          <w:p>
            <w:pPr>
              <w:spacing w:after="0" w:before="0" w:lineRule="auto" w:line="276"/>
              <w:jc w:val="left"/>
            </w:pPr>
            <w:r>
              <w:rPr>
                <w:rFonts w:ascii="Times New Roman" w:hAnsi="Times New Roman" w:cs="Times New Roman" w:eastAsia="Times New Roman"/>
                <w:b w:val="false"/>
                <w:sz w:val="26"/>
              </w:rPr>
              <w:t>Luật 39/2013/QH13</w:t>
            </w:r>
          </w:p>
        </w:tc>
        <w:tc>
          <w:p/>
          <w:p>
            <w:pPr>
              <w:spacing w:after="0" w:before="0" w:lineRule="auto" w:line="276"/>
              <w:jc w:val="left"/>
            </w:pPr>
            <w:r>
              <w:rPr>
                <w:rFonts w:ascii="Times New Roman" w:hAnsi="Times New Roman" w:cs="Times New Roman" w:eastAsia="Times New Roman"/>
                <w:b w:val="false"/>
                <w:sz w:val="26"/>
              </w:rPr>
              <w:t>16-11-2013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05/2007/QH12</w:t>
            </w:r>
          </w:p>
        </w:tc>
        <w:tc>
          <w:p/>
          <w:p>
            <w:pPr>
              <w:spacing w:after="0" w:before="0" w:lineRule="auto" w:line="276"/>
              <w:jc w:val="left"/>
            </w:pPr>
            <w:r>
              <w:rPr>
                <w:rFonts w:ascii="Times New Roman" w:hAnsi="Times New Roman" w:cs="Times New Roman" w:eastAsia="Times New Roman"/>
                <w:b w:val="false"/>
                <w:sz w:val="26"/>
              </w:rPr>
              <w:t>Luật 05/2007/QH12 - Chất lượng sản phẩm, hàng hoá</w:t>
            </w:r>
          </w:p>
        </w:tc>
        <w:tc>
          <w:p/>
          <w:p>
            <w:pPr>
              <w:spacing w:after="0" w:before="0" w:lineRule="auto" w:line="276"/>
              <w:jc w:val="left"/>
            </w:pPr>
            <w:r>
              <w:rPr>
                <w:rFonts w:ascii="Times New Roman" w:hAnsi="Times New Roman" w:cs="Times New Roman" w:eastAsia="Times New Roman"/>
                <w:b w:val="false"/>
                <w:sz w:val="26"/>
              </w:rPr>
              <w:t>21-11-2007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06/2009/TT-BKHCN</w:t>
            </w:r>
          </w:p>
        </w:tc>
        <w:tc>
          <w:p/>
          <w:p>
            <w:pPr>
              <w:spacing w:after="0" w:before="0" w:lineRule="auto" w:line="276"/>
              <w:jc w:val="left"/>
            </w:pPr>
            <w:r>
              <w:rPr>
                <w:rFonts w:ascii="Times New Roman" w:hAnsi="Times New Roman" w:cs="Times New Roman" w:eastAsia="Times New Roman"/>
                <w:b w:val="false"/>
                <w:sz w:val="26"/>
              </w:rPr>
              <w:t>Thông tư 06/2009/TT-BKHCN</w:t>
            </w:r>
          </w:p>
        </w:tc>
        <w:tc>
          <w:p/>
          <w:p>
            <w:pPr>
              <w:spacing w:after="0" w:before="0" w:lineRule="auto" w:line="276"/>
              <w:jc w:val="left"/>
            </w:pPr>
            <w:r>
              <w:rPr>
                <w:rFonts w:ascii="Times New Roman" w:hAnsi="Times New Roman" w:cs="Times New Roman" w:eastAsia="Times New Roman"/>
                <w:b w:val="false"/>
                <w:sz w:val="26"/>
              </w:rPr>
              <w:t>03-04-2009</w:t>
            </w:r>
          </w:p>
        </w:tc>
        <w:tc>
          <w:p/>
          <w:p>
            <w:pPr>
              <w:spacing w:after="0" w:before="0" w:lineRule="auto" w:line="276"/>
              <w:jc w:val="left"/>
            </w:pPr>
            <w:r>
              <w:rPr>
                <w:rFonts w:ascii="Times New Roman" w:hAnsi="Times New Roman" w:cs="Times New Roman" w:eastAsia="Times New Roman"/>
                <w:b w:val="false"/>
                <w:sz w:val="26"/>
              </w:rPr>
              <w:t>Bộ Khoa học và Công nghệ</w:t>
            </w:r>
          </w:p>
        </w:tc>
      </w:tr>
      <w:tr>
        <w:tc>
          <w:p/>
          <w:p>
            <w:pPr>
              <w:spacing w:after="0" w:before="0" w:lineRule="auto" w:line="276"/>
              <w:jc w:val="left"/>
            </w:pPr>
            <w:r>
              <w:rPr>
                <w:rFonts w:ascii="Times New Roman" w:hAnsi="Times New Roman" w:cs="Times New Roman" w:eastAsia="Times New Roman"/>
                <w:b w:val="false"/>
                <w:sz w:val="26"/>
              </w:rPr>
              <w:t>42/2010/NĐ-CP</w:t>
            </w:r>
          </w:p>
        </w:tc>
        <w:tc>
          <w:p/>
          <w:p>
            <w:pPr>
              <w:spacing w:after="0" w:before="0" w:lineRule="auto" w:line="276"/>
              <w:jc w:val="left"/>
            </w:pPr>
            <w:r>
              <w:rPr>
                <w:rFonts w:ascii="Times New Roman" w:hAnsi="Times New Roman" w:cs="Times New Roman" w:eastAsia="Times New Roman"/>
                <w:b w:val="false"/>
                <w:sz w:val="26"/>
              </w:rPr>
              <w:t>Nghị định 42/2010/NĐ-CP</w:t>
            </w:r>
          </w:p>
        </w:tc>
        <w:tc>
          <w:p/>
          <w:p>
            <w:pPr>
              <w:spacing w:after="0" w:before="0" w:lineRule="auto" w:line="276"/>
              <w:jc w:val="left"/>
            </w:pPr>
            <w:r>
              <w:rPr>
                <w:rFonts w:ascii="Times New Roman" w:hAnsi="Times New Roman" w:cs="Times New Roman" w:eastAsia="Times New Roman"/>
                <w:b w:val="false"/>
                <w:sz w:val="26"/>
              </w:rPr>
              <w:t>15-04-2010</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51/2010/QĐ-TTg</w:t>
            </w:r>
          </w:p>
        </w:tc>
        <w:tc>
          <w:p/>
          <w:p>
            <w:pPr>
              <w:spacing w:after="0" w:before="0" w:lineRule="auto" w:line="276"/>
              <w:jc w:val="left"/>
            </w:pPr>
            <w:r>
              <w:rPr>
                <w:rFonts w:ascii="Times New Roman" w:hAnsi="Times New Roman" w:cs="Times New Roman" w:eastAsia="Times New Roman"/>
                <w:b w:val="false"/>
                <w:sz w:val="26"/>
              </w:rPr>
              <w:t>Quyết định 51/2010/QĐ-TTg</w:t>
            </w:r>
          </w:p>
        </w:tc>
        <w:tc>
          <w:p/>
          <w:p>
            <w:pPr>
              <w:spacing w:after="0" w:before="0" w:lineRule="auto" w:line="276"/>
              <w:jc w:val="left"/>
            </w:pPr>
            <w:r>
              <w:rPr>
                <w:rFonts w:ascii="Times New Roman" w:hAnsi="Times New Roman" w:cs="Times New Roman" w:eastAsia="Times New Roman"/>
                <w:b w:val="false"/>
                <w:sz w:val="26"/>
              </w:rPr>
              <w:t>28-07-2010</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hoạt động đối với đơn vị tổ chức xét thưởng:
- Được thành lập theo quy định của pháp luật, có chức năng tổ chức hoạt động xét tặng giải thưởng, có trụ sở, con dấu và tài khoản độc lập.
- Đối với cá nhân: phải có năng lực hành vi dân sự đầy đủ, có tài khoản độc lập.
- Có đủ năng lực tài chính để bảo đảm tổ chức thành công hoạt động xét tặng giải thưởng.Trường hợp sử dụng kinh phí từ ngân sách nhà nước để tổ chức xét tặng giải thưởng chất lượng sản phẩm, hàng hoá, đơn vị tổ chức xét thưởng phải được cơ quan nhà nước có thẩm quyền cho phép tổ chức xét tặng giải thưởng bằng văn bản và việc sử dụng kinh phí cho hoạt động tổ chức xét tặng giải thưởng phải tuân thủ các quy định của Luật Ngân sách Nhà nước và các quy định về quản lý tài chính hiện hành của Nhà nước.
- Có đủ cán bộ, nhân viên có năng lực chuyên môn, kinh nghiệm về tổ chức hoạt động xét tặng giải thưởng chất lượng sản phẩm, hàng hoá.
- Hoạt động xét thưởng phải đáp ứng các nguyên tắc xét thưởng quy định tại khoản 3 Mục I của Thông tư số 06/2009/TT-BKHCN.
- Đã xây dựng kế hoạch và xác định thời gian tổ chức hoạt động xét tặng giải thưởng.
- Có Quy chế xét thưởng phù hợp đối với lĩnh vực xét thưởng, gồm các nội dung chính sau:
+ Tên của giải thưởng, mục đích xét thưởng;
+ Đối tượng xét thưởng;
+ Mức thưởng và hình thức tặng thưởng;
+ Điều kiện và nguyên tắc xét thưởng;
+ Tiêu chí xét thưởng;
+ Nhiệm vụ của Hội đồng xét thưởng;
+ Trình tự, thủ tục xét thưởng;
+ Nội dung đánh giá, căn cứ đánh giá, phương pháp đánh giá và kết quả đánh giá sự phù hợp của sản phẩm, hàng hoá với tiêu chí xét thưởng;
+ Quy định về chi phí đăng ký để được xét tặng giải thưởng.
+ Quy chế xét thưởng có thể được sửa đổi, bổ sung khi cần thiết. 
- Hội đồng xét thưởng bao gồm các chuyên gia có trình độ, năng lực về lĩnh vực xét thưởng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2024-03-28T12:25:55Z</dcterms:created>
  <dc:creator>Apache POI</dc:creator>
</cp:coreProperties>
</file>