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1.000419.000.00.00.H56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1624/QĐ-UBND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khai tử lưu động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
- Tại địa điểm đăng ký khai tử lưu động, công chức tư pháp - hộ tịch hướng dẫn người yêu cầu điền đầy đủ thông tin trong Tờ khai đăng ký khai tử, kiểm tra các giấy tờ làm cơ sở cho việc đăng ký khai tử; viết Phiếu tiếp nhận hồ sơ.
- Sau khi tiếp nhận hồ sơ, công chức tư pháp - hộ tịch báo cáo Chủ tịch Ủy ban nhân dân cấp xã. Trường hợp Chủ tịch Ủy ban nhân dân đồng ý giải quyết thì công chức tư pháp - hộ tịch thực hiện việc ghi vào Sổ đăng ký khai tử, cập nhật thông tin đăng ký khai tử và lưu chính thức trên Phần mềm đăng ký, quản lý hộ tịch điện tử dùng chung, in Trích lục khai tử, trình Chủ tịch Ủy ban nhân dân ký Trích lục khai tử cấp cho người có yêu cầu.
-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rõ họ, tên trong Sổ đăng ký khai tử; tại mục “Ghi chú” trong Sổ đăng ký khai tử ghi rõ “Đăng ký lưu động”.
-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Lệ phí : 8.000 Đồng</w:t>
              <w:t xml:space="preserve"> (- Miễn lệ phí đối với trường hợp đăng ký khai tử đúng hạn (Theo quy định tại Khoản 1 Điều 11 Luật Hộ tịch) - Miễn lệ phí cho người thuộc gia đình có công cách mạng; trẻ em; người thuộc hộ nghèo; người cao tuổi; người khuyết tật; đồng bào dân tộc thiểu số ở các xã, thôn, bản có điều kiện kinh tế - xã hội đặc biệt khó khăn (theo Nghị quyết số 289/2022/NQ-HĐND))</w:t>
              <w:br/>
              <w:t>File đính kèm: NQ 289.PDF</w:t>
            </w:r>
          </w:p>
          <w:p>
            <w:pPr>
              <w:spacing w:after="0" w:before="0" w:lineRule="auto" w:line="276"/>
              <w:jc w:val="left"/>
            </w:pPr>
            <w:r>
              <w:rPr>
                <w:rFonts w:ascii="Times New Roman" w:hAnsi="Times New Roman" w:cs="Times New Roman" w:eastAsia="Times New Roman"/>
                <w:b w:val="false"/>
                <w:sz w:val="26"/>
              </w:rPr>
              <w:t xml:space="preserve">Phí : 8.000 đ/bản sao </w:t>
              <w:t xml:space="preserve"> (Phí cấp bản sao trích lục khai tử (nếu có yêu cầu):)</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khai tử theo mẫu;</w:t>
            </w:r>
          </w:p>
        </w:tc>
        <w:tc>
          <w:p/>
          <w:p>
            <w:pPr>
              <w:spacing w:after="0" w:before="0" w:lineRule="auto" w:line="276"/>
              <w:jc w:val="left"/>
            </w:pPr>
            <w:r>
              <w:rPr>
                <w:rFonts w:ascii="Times New Roman" w:hAnsi="Times New Roman" w:cs="Times New Roman" w:eastAsia="Times New Roman"/>
                <w:b w:val="false"/>
                <w:sz w:val="26"/>
              </w:rPr>
              <w:t>3. TK đăng ký khai tử.doc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báo tử hoặc giấy tờ thay thế Giấy báo tử do cơ quan có thẩm quyền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chứng minh nơi cư trú cuối cùng của người chết để xác định        thẩm quyền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không xác định được nơi cư trú cuối cùng của người chết thì xuất trình giấy tờ chứng minh nơi người đó chết hoặc nơi phát hiện thi thể của người chết.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Thực hiện đăng ký lưu động tại nhà riêng hoặc tại địa điểm tổ chức đăng ký lưu động, bảo đảm thuận lợi cho người dân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khai tử</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01/2013/TT-BVHTTDL</w:t>
            </w:r>
          </w:p>
        </w:tc>
        <w:tc>
          <w:p/>
          <w:p>
            <w:pPr>
              <w:spacing w:after="0" w:before="0" w:lineRule="auto" w:line="276"/>
              <w:jc w:val="left"/>
            </w:pPr>
            <w:r>
              <w:rPr>
                <w:rFonts w:ascii="Times New Roman" w:hAnsi="Times New Roman" w:cs="Times New Roman" w:eastAsia="Times New Roman"/>
                <w:b w:val="false"/>
                <w:sz w:val="26"/>
              </w:rPr>
              <w:t>01/2013/TT-BVHTTDL</w:t>
            </w:r>
          </w:p>
        </w:tc>
        <w:tc>
          <w:p/>
          <w:p>
            <w:pPr>
              <w:spacing w:after="0" w:before="0" w:lineRule="auto" w:line="276"/>
              <w:jc w:val="left"/>
            </w:pPr>
            <w:r>
              <w:rPr>
                <w:rFonts w:ascii="Times New Roman" w:hAnsi="Times New Roman" w:cs="Times New Roman" w:eastAsia="Times New Roman"/>
                <w:b w:val="false"/>
                <w:sz w:val="26"/>
              </w:rPr>
              <w:t>02-01-2013</w:t>
            </w:r>
          </w:p>
        </w:tc>
        <w:tc>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ban hành mức thu, miễn, giảm, thu, nộp quản lý và sử dụng các khoản phí, lệ phí thuộc Hội đồng nhân dân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chết không có người thân thích, người thân thích không sống cùng địa bàn xã hoặc là người già, yếu, khuyết tật không đi đăng ký khai tử được.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2024-03-28T20:54:01Z</dcterms:created>
  <dc:creator>Apache POI</dc:creator>
</cp:coreProperties>
</file>