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1.000562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3813/QĐ-BYT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xác nhận nội dung quảng cáo dịch vụ khám bệnh, chữa bệnh thuộc thẩm quyền của Sở Y tế trong trường hợp bị mất hoặc hư hỏng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Khám bệnh, chữa bệnh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Tổ chức đề nghị xác nhận nội dung quảng cáo nộp hồ sơ tại Sở Y tế.</w:t>
      </w:r>
    </w:p>
    <w:p>
      <w:pPr>
        <w:spacing w:after="0" w:before="0" w:lineRule="auto" w:line="276"/>
        <w:jc w:val="both"/>
      </w:pPr>
      <w:r>
        <w:rPr>
          <w:rFonts w:ascii="Times New Roman" w:hAnsi="Times New Roman" w:cs="Times New Roman" w:eastAsia="Times New Roman"/>
          <w:b w:val="false"/>
          <w:sz w:val="26"/>
        </w:rPr>
        <w:t>bước 2: Trong thời hạn 05 ngày làm việc kể từ ngày nhận được văn bản đề nghị theo dấu tiếp nhận công văn đến của cơ quan tiếp nhận hồ sơ, cơ quan có thẩm quyền xác nhận nội dung quảng cáo xem xét cấp lại cho cơ sở. Trường hợp từ chối cấp lại, cơ quan có thẩm quyền phải có văn bản thông báo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1.000.000 Đồng</w:t>
            </w:r>
          </w:p>
        </w:tc>
        <w:tc>
          <w:p/>
          <w:p>
            <w:pPr>
              <w:spacing w:after="0" w:before="0" w:lineRule="auto" w:line="276"/>
              <w:jc w:val="left"/>
            </w:pPr>
            <w:r>
              <w:rPr>
                <w:rFonts w:ascii="Times New Roman" w:hAnsi="Times New Roman" w:cs="Times New Roman" w:eastAsia="Times New Roman"/>
                <w:b w:val="false"/>
                <w:sz w:val="26"/>
              </w:rPr>
              <w:t>05 ngày làm việc kể từ ngày nhận được văn bản đề nghị theo dấu tiếp nhận công văn đến của cơ quan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1.000.000 Đồng</w:t>
            </w:r>
          </w:p>
        </w:tc>
        <w:tc>
          <w:p/>
          <w:p>
            <w:pPr>
              <w:spacing w:after="0" w:before="0" w:lineRule="auto" w:line="276"/>
              <w:jc w:val="left"/>
            </w:pPr>
            <w:r>
              <w:rPr>
                <w:rFonts w:ascii="Times New Roman" w:hAnsi="Times New Roman" w:cs="Times New Roman" w:eastAsia="Times New Roman"/>
                <w:b w:val="false"/>
                <w:sz w:val="26"/>
              </w:rPr>
              <w:t>05 ngày làm việc kể từ ngày nhận được văn bản đề nghị theo dấu tiếp nhận công văn đến của cơ quan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cấp lại giấy xác nội dung quảng cáo theo quy định tại Phụ lục 04 ban hành kèm theo Thông tư 09/2015/TT-BYT;</w:t>
            </w:r>
          </w:p>
        </w:tc>
        <w:tc>
          <w:p/>
          <w:p>
            <w:pPr>
              <w:spacing w:after="0" w:before="0" w:lineRule="auto" w:line="276"/>
              <w:jc w:val="left"/>
            </w:pPr>
            <w:r>
              <w:rPr>
                <w:rFonts w:ascii="Times New Roman" w:hAnsi="Times New Roman" w:cs="Times New Roman" w:eastAsia="Times New Roman"/>
                <w:b w:val="false"/>
                <w:sz w:val="26"/>
              </w:rPr>
              <w:t>TT09_2015_TTBYT_Phu luc 04.doc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Y tế</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nội dung quảng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40/2009/QH12</w:t>
            </w:r>
          </w:p>
        </w:tc>
        <w:tc>
          <w:p/>
          <w:p>
            <w:pPr>
              <w:spacing w:after="0" w:before="0" w:lineRule="auto" w:line="276"/>
              <w:jc w:val="left"/>
            </w:pPr>
            <w:r>
              <w:rPr>
                <w:rFonts w:ascii="Times New Roman" w:hAnsi="Times New Roman" w:cs="Times New Roman" w:eastAsia="Times New Roman"/>
                <w:b w:val="false"/>
                <w:sz w:val="26"/>
              </w:rPr>
              <w:t>Luật 40/2009/QH12</w:t>
            </w:r>
          </w:p>
        </w:tc>
        <w:tc>
          <w:p/>
          <w:p>
            <w:pPr>
              <w:spacing w:after="0" w:before="0" w:lineRule="auto" w:line="276"/>
              <w:jc w:val="left"/>
            </w:pPr>
            <w:r>
              <w:rPr>
                <w:rFonts w:ascii="Times New Roman" w:hAnsi="Times New Roman" w:cs="Times New Roman" w:eastAsia="Times New Roman"/>
                <w:b w:val="false"/>
                <w:sz w:val="26"/>
              </w:rPr>
              <w:t>23-11-2009</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16/2012/QH13</w:t>
            </w:r>
          </w:p>
        </w:tc>
        <w:tc>
          <w:p/>
          <w:p>
            <w:pPr>
              <w:spacing w:after="0" w:before="0" w:lineRule="auto" w:line="276"/>
              <w:jc w:val="left"/>
            </w:pPr>
            <w:r>
              <w:rPr>
                <w:rFonts w:ascii="Times New Roman" w:hAnsi="Times New Roman" w:cs="Times New Roman" w:eastAsia="Times New Roman"/>
                <w:b w:val="false"/>
                <w:sz w:val="26"/>
              </w:rPr>
              <w:t>Luật 16/2012/QH13-Quảng cáo</w:t>
            </w:r>
          </w:p>
        </w:tc>
        <w:tc>
          <w:p/>
          <w:p>
            <w:pPr>
              <w:spacing w:after="0" w:before="0" w:lineRule="auto" w:line="276"/>
              <w:jc w:val="left"/>
            </w:pPr>
            <w:r>
              <w:rPr>
                <w:rFonts w:ascii="Times New Roman" w:hAnsi="Times New Roman" w:cs="Times New Roman" w:eastAsia="Times New Roman"/>
                <w:b w:val="false"/>
                <w:sz w:val="26"/>
              </w:rPr>
              <w:t>21-06-2012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181/2013/NĐ-CP</w:t>
            </w:r>
          </w:p>
        </w:tc>
        <w:tc>
          <w:p/>
          <w:p>
            <w:pPr>
              <w:spacing w:after="0" w:before="0" w:lineRule="auto" w:line="276"/>
              <w:jc w:val="left"/>
            </w:pPr>
            <w:r>
              <w:rPr>
                <w:rFonts w:ascii="Times New Roman" w:hAnsi="Times New Roman" w:cs="Times New Roman" w:eastAsia="Times New Roman"/>
                <w:b w:val="false"/>
                <w:sz w:val="26"/>
              </w:rPr>
              <w:t>Nghị định 181/2013/NĐ-CP-Quy định chi tiết thi hành một số điều của Luật Quảng Cáo</w:t>
            </w:r>
          </w:p>
        </w:tc>
        <w:tc>
          <w:p/>
          <w:p>
            <w:pPr>
              <w:spacing w:after="0" w:before="0" w:lineRule="auto" w:line="276"/>
              <w:jc w:val="left"/>
            </w:pPr>
            <w:r>
              <w:rPr>
                <w:rFonts w:ascii="Times New Roman" w:hAnsi="Times New Roman" w:cs="Times New Roman" w:eastAsia="Times New Roman"/>
                <w:b w:val="false"/>
                <w:sz w:val="26"/>
              </w:rPr>
              <w:t>14-11-2013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09/2015/TT-BYT</w:t>
            </w:r>
          </w:p>
        </w:tc>
        <w:tc>
          <w:p/>
          <w:p>
            <w:pPr>
              <w:spacing w:after="0" w:before="0" w:lineRule="auto" w:line="276"/>
              <w:jc w:val="left"/>
            </w:pPr>
            <w:r>
              <w:rPr>
                <w:rFonts w:ascii="Times New Roman" w:hAnsi="Times New Roman" w:cs="Times New Roman" w:eastAsia="Times New Roman"/>
                <w:b w:val="false"/>
                <w:sz w:val="26"/>
              </w:rPr>
              <w:t>Thông tư 09/2015/TT-BYT - Quy định về xác nhận nội dung quảng cáo đối với sản phẩm, hàng hóa, dịch vụ đặc biệt thuộc lĩnh vực quản lý của Bộ Y tế</w:t>
            </w:r>
          </w:p>
        </w:tc>
        <w:tc>
          <w:p/>
          <w:p>
            <w:pPr>
              <w:spacing w:after="0" w:before="0" w:lineRule="auto" w:line="276"/>
              <w:jc w:val="left"/>
            </w:pPr>
            <w:r>
              <w:rPr>
                <w:rFonts w:ascii="Times New Roman" w:hAnsi="Times New Roman" w:cs="Times New Roman" w:eastAsia="Times New Roman"/>
                <w:b w:val="false"/>
                <w:sz w:val="26"/>
              </w:rPr>
              <w:t>25-05-2015</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2024-03-28T15:36:31Z</dcterms:created>
  <dc:creator>Apache POI</dc:creator>
</cp:coreProperties>
</file>