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1.000828.000.00.00.H56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1801/QĐ-UBND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Chứng chỉ hành nghề luật sư đối với người đạt yêu cầu kiểm tra kết quả tập sự hành nghề luật sư</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Luật sư</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đạt yêu cầu kiểm tra kết quả tập sự hành nghề luật sư có hồ sơ đề nghị cấp Chứng chỉ hành nghề luật sư gửi Ban chủ nhiệm Đoàn luật sư.
Trong thời hạn bảy ngày làm việc, kể từ ngày nhận đủ hồ sơ hợp lệ, Ban chủ nhiệm Đoàn luật sư chuyển hồ sơ cho Sở Tư pháp kèm theo bản xác nhận người đề nghị cấp Chứng chỉ hành nghề luật sư có đủ tiêu chuẩn luật sư theo quy định của Luật Luật sư.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Chứng chỉ hành nghề luật sư gửi Bộ Tư pháp. 
Trong thời hạn hai mươi ngày, kể từ ngày nhận đủ hồ sơ hợp lệ, Bộ trưởng Bộ Tư pháp quyết định cấp Chứng chỉ hành nghề luật sư; trong trường hợp từ chối phải thông báo bằng văn bản và nêu rõ lý do cho người đề nghị cấp Chứng chỉ hành nghề luật sư và Sở Tư pháp nơi gửi hồ sơ đề nghị cấp Chứng chỉ hành nghề luật sư.</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27 Ngày làm việc</w:t>
            </w:r>
          </w:p>
        </w:tc>
        <w:tc>
          <w:p/>
          <w:p>
            <w:pPr>
              <w:spacing w:after="0" w:before="0" w:lineRule="auto" w:line="276"/>
              <w:jc w:val="left"/>
            </w:pPr>
            <w:r>
              <w:rPr>
                <w:rFonts w:ascii="Times New Roman" w:hAnsi="Times New Roman" w:cs="Times New Roman" w:eastAsia="Times New Roman"/>
                <w:b w:val="false"/>
                <w:sz w:val="26"/>
              </w:rPr>
              <w:t xml:space="preserve">Phí : 800.000 đ/hồ sơ </w:t>
            </w:r>
          </w:p>
          <w:p>
            <w:pPr>
              <w:spacing w:after="0" w:before="0" w:lineRule="auto" w:line="276"/>
              <w:jc w:val="left"/>
            </w:pPr>
            <w:r>
              <w:rPr>
                <w:rFonts w:ascii="Times New Roman" w:hAnsi="Times New Roman" w:cs="Times New Roman" w:eastAsia="Times New Roman"/>
                <w:b w:val="false"/>
                <w:sz w:val="26"/>
              </w:rPr>
              <w:t xml:space="preserve">Lệ phí : 100.000 đ/hồ sơ </w:t>
            </w:r>
          </w:p>
        </w:tc>
        <w:tc>
          <w:p/>
          <w:p>
            <w:pPr>
              <w:spacing w:after="0" w:before="0" w:lineRule="auto" w:line="276"/>
              <w:jc w:val="left"/>
            </w:pPr>
            <w:r>
              <w:rPr>
                <w:rFonts w:ascii="Times New Roman" w:hAnsi="Times New Roman" w:cs="Times New Roman" w:eastAsia="Times New Roman"/>
                <w:b w:val="false"/>
                <w:sz w:val="26"/>
              </w:rPr>
              <w:t>Trong thời hạn bảy ngày làm việc, kể từ ngày nhận đủ hồ sơ hợp lệ, Ban chủ nhiệm Đoàn luật sư chuyển hồ sơ cho Sở Tư pháp kèm theo bản xác nhận người đề nghị cấp Chứng chỉ hành nghề luật sư có đủ tiêu chuẩn luật sư theo quy định của Luật Luật sư.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Chứng chỉ hành nghề luật sư gửi Bộ Tư pháp.
Trong thời hạn hai mươi ngày , kể từ ngày nhận đủ hồ sơ hợp lệ, Bộ trưởng Bộ Tư pháp quyết định cấp Chứng chỉ hành nghề luật sư.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27 Ngày làm việc</w:t>
            </w:r>
          </w:p>
        </w:tc>
        <w:tc>
          <w:p/>
          <w:p>
            <w:pPr>
              <w:spacing w:after="0" w:before="0" w:lineRule="auto" w:line="276"/>
              <w:jc w:val="left"/>
            </w:pPr>
            <w:r>
              <w:rPr>
                <w:rFonts w:ascii="Times New Roman" w:hAnsi="Times New Roman" w:cs="Times New Roman" w:eastAsia="Times New Roman"/>
                <w:b w:val="false"/>
                <w:sz w:val="26"/>
              </w:rPr>
              <w:t xml:space="preserve">Phí : 800.000 đ/hồ sơ </w:t>
            </w:r>
          </w:p>
          <w:p>
            <w:pPr>
              <w:spacing w:after="0" w:before="0" w:lineRule="auto" w:line="276"/>
              <w:jc w:val="left"/>
            </w:pPr>
            <w:r>
              <w:rPr>
                <w:rFonts w:ascii="Times New Roman" w:hAnsi="Times New Roman" w:cs="Times New Roman" w:eastAsia="Times New Roman"/>
                <w:b w:val="false"/>
                <w:sz w:val="26"/>
              </w:rPr>
              <w:t xml:space="preserve">Lệ phí : 100.000đ/hồ sơ </w:t>
            </w:r>
          </w:p>
        </w:tc>
        <w:tc>
          <w:p/>
          <w:p>
            <w:pPr>
              <w:spacing w:after="0" w:before="0" w:lineRule="auto" w:line="276"/>
              <w:jc w:val="left"/>
            </w:pPr>
            <w:r>
              <w:rPr>
                <w:rFonts w:ascii="Times New Roman" w:hAnsi="Times New Roman" w:cs="Times New Roman" w:eastAsia="Times New Roman"/>
                <w:b w:val="false"/>
                <w:sz w:val="26"/>
              </w:rPr>
              <w:t>Trong thời hạn bảy ngày làm việc, kể từ ngày nhận đủ hồ sơ hợp lệ, Ban chủ nhiệm Đoàn luật sư chuyển hồ sơ cho Sở Tư pháp kèm theo bản xác nhận người đề nghị cấp Chứng chỉ hành nghề luật sư có đủ tiêu chuẩn luật sư theo quy định của Luật Luật sư.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Chứng chỉ hành nghề luật sư gửi Bộ Tư pháp.
Trong thời hạn hai mươi ngày , kể từ ngày nhận đủ hồ sơ hợp lệ, Bộ trưởng Bộ Tư pháp quyết định cấp Chứng chỉ hành nghề luật sư.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27 Ngày làm việc</w:t>
            </w:r>
          </w:p>
        </w:tc>
        <w:tc>
          <w:p/>
          <w:p>
            <w:pPr>
              <w:spacing w:after="0" w:before="0" w:lineRule="auto" w:line="276"/>
              <w:jc w:val="left"/>
            </w:pPr>
            <w:r>
              <w:rPr>
                <w:rFonts w:ascii="Times New Roman" w:hAnsi="Times New Roman" w:cs="Times New Roman" w:eastAsia="Times New Roman"/>
                <w:b w:val="false"/>
                <w:sz w:val="26"/>
              </w:rPr>
              <w:t xml:space="preserve">Phí : 800.000 đ/hồ sơ </w:t>
            </w:r>
          </w:p>
          <w:p>
            <w:pPr>
              <w:spacing w:after="0" w:before="0" w:lineRule="auto" w:line="276"/>
              <w:jc w:val="left"/>
            </w:pPr>
            <w:r>
              <w:rPr>
                <w:rFonts w:ascii="Times New Roman" w:hAnsi="Times New Roman" w:cs="Times New Roman" w:eastAsia="Times New Roman"/>
                <w:b w:val="false"/>
                <w:sz w:val="26"/>
              </w:rPr>
              <w:t xml:space="preserve">Lệ phí : 100.000 đ/hồ sơ </w:t>
            </w:r>
          </w:p>
        </w:tc>
        <w:tc>
          <w:p/>
          <w:p>
            <w:pPr>
              <w:spacing w:after="0" w:before="0" w:lineRule="auto" w:line="276"/>
              <w:jc w:val="left"/>
            </w:pPr>
            <w:r>
              <w:rPr>
                <w:rFonts w:ascii="Times New Roman" w:hAnsi="Times New Roman" w:cs="Times New Roman" w:eastAsia="Times New Roman"/>
                <w:b w:val="false"/>
                <w:sz w:val="26"/>
              </w:rPr>
              <w:t>Trong thời hạn bảy ngày làm việc, kể từ ngày nhận đủ hồ sơ hợp lệ, Ban chủ nhiệm Đoàn luật sư chuyển hồ sơ cho Sở Tư pháp kèm theo bản xác nhận người đề nghị cấp Chứng chỉ hành nghề luật sư có đủ tiêu chuẩn luật sư theo quy định của Luật Luật sư.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Chứng chỉ hành nghề luật sư gửi Bộ Tư pháp.
Trong thời hạn hai mươi ngày , kể từ ngày nhận đủ hồ sơ hợp lệ, Bộ trưởng Bộ Tư pháp quyết định cấp Chứng chỉ hành nghề luật sư.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lý lịch tư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sức khoẻ</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đề nghị cấp Chứng chỉ hành nghề luật sư theo mẫu do Bộ Tư pháp ban hành</w:t>
            </w:r>
          </w:p>
        </w:tc>
        <w:tc>
          <w:p/>
          <w:p>
            <w:pPr>
              <w:spacing w:after="0" w:before="0" w:lineRule="auto" w:line="276"/>
              <w:jc w:val="left"/>
            </w:pPr>
            <w:r>
              <w:rPr>
                <w:rFonts w:ascii="Times New Roman" w:hAnsi="Times New Roman" w:cs="Times New Roman" w:eastAsia="Times New Roman"/>
                <w:b w:val="false"/>
                <w:sz w:val="26"/>
              </w:rPr>
              <w:t>Mau 1-LS.doc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Bằng cử nhân luật hoặc bản sao Bằng thạc sỹ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kiểm tra kết quả tập sự hành nghề luật sư</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giải trình, cam kết về quá trình phấn đấu về việc tuân thủ Hiến pháp và pháp luật, có phẩm chất đạo đức tốt và có xác nhận của cơ quan, tổ chức nơi làm việc cuối cùng của người đó trước thời điểm đề nghị cấp Chứng chỉ hành nghề luật sư hoặc của công an xã, phường, thị trấn nơi người đó cư trú (đối với người thuộc trường hợp quy định tại khoản 2 Điều 2a của Nghị định số 137/2018/NĐ-CP).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Lưu ý: Trong trường hợp cần sử dụng đến thông tin về nơi cư trú của người đề nghị cấp Chứng chỉ hành nghề luật sư thì cán bộ, công chức, viên chức, cá nhân được giao trách nhiệm tiếp nhận, giải quyết thủ tục hành chính, cung cấp dịch vụ công thực hiện khai thác thông tin về cư trú của công dân trong Cơ sở dữ liệu quốc gia về dân cư theo một trong các phương thức quy định tại khoản 2 Điều 14 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vụ công. 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 Thẻ Căn cước công dân,  - Chứng minh nhân dân,  - Giấy xác nhận thông tin về cư trú,  - Giấy thông báo số định danh cá nhân và thông tin công dân trong Cơ sở dữ liệu quốc gia về dân cư.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hành nghề luật sư</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220/2016/TT-BTC</w:t>
            </w:r>
          </w:p>
        </w:tc>
        <w:tc>
          <w:p/>
          <w:p>
            <w:pPr>
              <w:spacing w:after="0" w:before="0" w:lineRule="auto" w:line="276"/>
              <w:jc w:val="left"/>
            </w:pPr>
            <w:r>
              <w:rPr>
                <w:rFonts w:ascii="Times New Roman" w:hAnsi="Times New Roman" w:cs="Times New Roman" w:eastAsia="Times New Roman"/>
                <w:b w:val="false"/>
                <w:sz w:val="26"/>
              </w:rPr>
              <w:t>Thông tư 220/2016/TT-BTC</w:t>
            </w:r>
          </w:p>
        </w:tc>
        <w:tc>
          <w:p/>
          <w:p>
            <w:pPr>
              <w:spacing w:after="0" w:before="0" w:lineRule="auto" w:line="276"/>
              <w:jc w:val="left"/>
            </w:pPr>
            <w:r>
              <w:rPr>
                <w:rFonts w:ascii="Times New Roman" w:hAnsi="Times New Roman" w:cs="Times New Roman" w:eastAsia="Times New Roman"/>
                <w:b w:val="false"/>
                <w:sz w:val="26"/>
              </w:rPr>
              <w:t>10-11-2016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137/2018/NĐ-CP</w:t>
            </w:r>
          </w:p>
        </w:tc>
        <w:tc>
          <w:p/>
          <w:p>
            <w:pPr>
              <w:spacing w:after="0" w:before="0" w:lineRule="auto" w:line="276"/>
              <w:jc w:val="left"/>
            </w:pPr>
            <w:r>
              <w:rPr>
                <w:rFonts w:ascii="Times New Roman" w:hAnsi="Times New Roman" w:cs="Times New Roman" w:eastAsia="Times New Roman"/>
                <w:b w:val="false"/>
                <w:sz w:val="26"/>
              </w:rPr>
              <w:t>Nghị định 137/2018/NĐ-CP</w:t>
            </w:r>
          </w:p>
        </w:tc>
        <w:tc>
          <w:p/>
          <w:p>
            <w:pPr>
              <w:spacing w:after="0" w:before="0" w:lineRule="auto" w:line="276"/>
              <w:jc w:val="left"/>
            </w:pPr>
            <w:r>
              <w:rPr>
                <w:rFonts w:ascii="Times New Roman" w:hAnsi="Times New Roman" w:cs="Times New Roman" w:eastAsia="Times New Roman"/>
                <w:b w:val="false"/>
                <w:sz w:val="26"/>
              </w:rPr>
              <w:t>08-10-2018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123/2013/NĐ-CP</w:t>
            </w:r>
          </w:p>
        </w:tc>
        <w:tc>
          <w:p/>
          <w:p>
            <w:pPr>
              <w:spacing w:after="0" w:before="0" w:lineRule="auto" w:line="276"/>
              <w:jc w:val="left"/>
            </w:pPr>
            <w:r>
              <w:rPr>
                <w:rFonts w:ascii="Times New Roman" w:hAnsi="Times New Roman" w:cs="Times New Roman" w:eastAsia="Times New Roman"/>
                <w:b w:val="false"/>
                <w:sz w:val="26"/>
              </w:rPr>
              <w:t>Nghị định 123/2013/NĐ-CP</w:t>
            </w:r>
          </w:p>
        </w:tc>
        <w:tc>
          <w:p/>
          <w:p>
            <w:pPr>
              <w:spacing w:after="0" w:before="0" w:lineRule="auto" w:line="276"/>
              <w:jc w:val="left"/>
            </w:pPr>
            <w:r>
              <w:rPr>
                <w:rFonts w:ascii="Times New Roman" w:hAnsi="Times New Roman" w:cs="Times New Roman" w:eastAsia="Times New Roman"/>
                <w:b w:val="false"/>
                <w:sz w:val="26"/>
              </w:rPr>
              <w:t>14-10-2013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65/2006/QH11</w:t>
            </w:r>
          </w:p>
        </w:tc>
        <w:tc>
          <w:p/>
          <w:p>
            <w:pPr>
              <w:spacing w:after="0" w:before="0" w:lineRule="auto" w:line="276"/>
              <w:jc w:val="left"/>
            </w:pPr>
            <w:r>
              <w:rPr>
                <w:rFonts w:ascii="Times New Roman" w:hAnsi="Times New Roman" w:cs="Times New Roman" w:eastAsia="Times New Roman"/>
                <w:b w:val="false"/>
                <w:sz w:val="26"/>
              </w:rPr>
              <w:t>Luật 65/2006/QH11</w:t>
            </w:r>
          </w:p>
        </w:tc>
        <w:tc>
          <w:p/>
          <w:p>
            <w:pPr>
              <w:spacing w:after="0" w:before="0" w:lineRule="auto" w:line="276"/>
              <w:jc w:val="left"/>
            </w:pPr>
            <w:r>
              <w:rPr>
                <w:rFonts w:ascii="Times New Roman" w:hAnsi="Times New Roman" w:cs="Times New Roman" w:eastAsia="Times New Roman"/>
                <w:b w:val="false"/>
                <w:sz w:val="26"/>
              </w:rPr>
              <w:t>29-06-2006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02/2015/TT-BTP</w:t>
            </w:r>
          </w:p>
        </w:tc>
        <w:tc>
          <w:p/>
          <w:p>
            <w:pPr>
              <w:spacing w:after="0" w:before="0" w:lineRule="auto" w:line="276"/>
              <w:jc w:val="left"/>
            </w:pPr>
            <w:r>
              <w:rPr>
                <w:rFonts w:ascii="Times New Roman" w:hAnsi="Times New Roman" w:cs="Times New Roman" w:eastAsia="Times New Roman"/>
                <w:b w:val="false"/>
                <w:sz w:val="26"/>
              </w:rPr>
              <w:t>Thông tư 02/2015/TT-BTP</w:t>
            </w:r>
          </w:p>
        </w:tc>
        <w:tc>
          <w:p/>
          <w:p>
            <w:pPr>
              <w:spacing w:after="0" w:before="0" w:lineRule="auto" w:line="276"/>
              <w:jc w:val="left"/>
            </w:pPr>
            <w:r>
              <w:rPr>
                <w:rFonts w:ascii="Times New Roman" w:hAnsi="Times New Roman" w:cs="Times New Roman" w:eastAsia="Times New Roman"/>
                <w:b w:val="false"/>
                <w:sz w:val="26"/>
              </w:rPr>
              <w:t>16-01-2015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05/2021/TT-BTP</w:t>
            </w:r>
          </w:p>
        </w:tc>
        <w:tc>
          <w:p/>
          <w:p>
            <w:pPr>
              <w:spacing w:after="0" w:before="0" w:lineRule="auto" w:line="276"/>
              <w:jc w:val="left"/>
            </w:pPr>
            <w:r>
              <w:rPr>
                <w:rFonts w:ascii="Times New Roman" w:hAnsi="Times New Roman" w:cs="Times New Roman" w:eastAsia="Times New Roman"/>
                <w:b w:val="false"/>
                <w:sz w:val="26"/>
              </w:rPr>
              <w:t>Thông tư 05/2021/TT-BTP</w:t>
            </w:r>
          </w:p>
        </w:tc>
        <w:tc>
          <w:p/>
          <w:p>
            <w:pPr>
              <w:spacing w:after="0" w:before="0" w:lineRule="auto" w:line="276"/>
              <w:jc w:val="left"/>
            </w:pPr>
            <w:r>
              <w:rPr>
                <w:rFonts w:ascii="Times New Roman" w:hAnsi="Times New Roman" w:cs="Times New Roman" w:eastAsia="Times New Roman"/>
                <w:b w:val="false"/>
                <w:sz w:val="26"/>
              </w:rPr>
              <w:t>24-06-2021</w:t>
            </w:r>
          </w:p>
        </w:tc>
        <w:tc>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Người đề nghị cấp Chứng chỉ hành nghề luật sư phải có đủ các tiêu chuẩn quy định tại Điều 10 của Luật Luật sư: công dân Việt Nam trung thành với Tổ quốc, tuân thủ Hiến pháp và pháp luật, có phẩm chất đạo đức tốt, có bằng cử nhân luật, đã được đào tạo nghề luật sư, đã qua thời gian tập sự hành nghề luật sư, có sức khoẻ bảo đảm hành nghề luật sư thì có thể trở thành luật sư.
2. Người thuộc trường hợp quy định tại điểm a khoản 1 Điều 2a của Nghị định số 137/2018/NĐ-CP ngày 08/10/2018 của Chính phủ sửa đổi, bổ sung một số điều của Nghị định số 123/2013/NĐ-CP ngày 14/10/2013 của Chính phủ mà quyết định kỷ luật đã chấm dứt hiệu lực hoặc đã hết thời hạn 03 năm, kể từ ngày quyết định kỷ luật buộc thôi việc có hiệu lực hoặc đã hết thời hạn 01 năm, kể từ ngày chấp hành xong quyết định xử lý hành chính hoặc người bị kết án về tội phạm do vô ý hoặc tội phạm ít nghiêm trọng do cố ý mà đã được xóa án tích và không thuộc trường hợp quy định tại điểm b khoản 1 Điều 2a của Nghị định số 137/2018/NĐ-CP, nếu có văn bản giải trình, cam kết về quá trình phấn đấu về việc tuân thủ Hiến pháp và pháp luật, có phẩm chất đạo đức tốt và có xác nhận của cơ quan, tổ chức nơi làm việc cuối cùng của người đó trước thời điểm đề nghị cấp Chứng chỉ hành nghề luật sư hoặc của công an xã, phường, thị trấn nơi người đó cư trú thì được coi là đã sửa chữa, rèn luyện và đáp ứng tiêu chuẩn về tuân thủ Hiến pháp và pháp luật, có phẩm chất đạo đức tốt theo quy định tại Điều 10 của Luật Luật sư. 
3. Người thuộc một trong những trường hợp sau đây thì không được cấp Chứng chỉ hành nghề luật sư:
- Không đủ tiêu chuẩn luật sư quy định tại Điều 10 của Luật Luật sư;
- Đang là cán bộ, công chức, viên chức; sĩ quan, quân nhân chuyên nghiệp, công nhân quốc phòng trong cơ quan, đơn vị thuộc Quân đội nhân dân; sĩ quan, hạ sĩ quan, công nhân trong cơ quan, đơn vị thuộc Công an nhân dân;
- Không thường trú tại Việt Nam;
- Đang bị truy cứu trách nhiệm hình sự; đã bị kết án mà chưa được xoá án tích về tội phạm do vô ý hoặc tội phạm ít nghiêm trọng do cố ý; đã bị kết án về tội phạm nghiêm trọng do cố ý, tội phạm rất nghiêm trọng do cố ý, tội phạm đặc biệt nghiêm trọng do cố ý kể cả trường hợp đã được xóa án tích;
- Đang bị áp dụng biện pháp xử lý hành chính đưa vào cơ sở cai nghiện bắt buộc, cơ sở giáo dục bắt buộc;
- Mất năng lực hành vi dân sự hoặc bị hạn chế năng lực hành vi dân sự;
- Những người đang là cán bộ, công chức, viên chức, sĩ quan, quân nhân chuyên nghiệp, công nhân quốc phòng trong cơ quan, đơn vị thuộc Quân đội nhân dân; sĩ quan, hạ sĩ quan, công nhân trong cơ quan, đơn vị thuộc Công an nhân dân bị buộc thôi việc mà chưa hết thời hạn ba năm, kể từ ngày quyết định buộc thôi việc có hiệu lực.
- Đã bị xử lý hành chính hoặc xử lý kỷ luật hoặc xử lý hình sự hoặc có kết luận của cơ quan có thẩm quyền về một trong các hành vi liên quan đến chiếm đoạt tài sản, trục lợi, gian lận, gian dối, xâm phạm an ninh quốc gia; ứng xử, phát ngôn làm ảnh hưởng đến hình ảnh, uy tín nghề luật sư hoặc gây thiệt hại đến quyền và lợi ích hợp pháp của cơ quan, tổ chức, cá nhân; tham gia, lôi kéo, kích động, mua chuộc, cưỡng ép người khác tập trung đông người để gây rối trật tự công cộng, thực hiện các hành vi vi phạm pháp luật hoặc vi phạm quy định tại điểm b, d, e, g, i hoặc k khoản 1 Điều 9 của Luật Luật sư; vi phạm pháp luật khác do cố ý đã bị xử lý kỷ luật từ hai lần trở lên.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2024-03-28T14:01:14Z</dcterms:created>
  <dc:creator>Apache POI</dc:creator>
</cp:coreProperties>
</file>