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1.000903.000.00.00.H56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592/QĐ-UBND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Giấy phép đủ điều kiện kinh doanh dịch vụ karaoke (do cơ quan quản lý nhà nước về văn hóa cấp huyện cấp)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Văn hóa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Doanh nghiệp, hộ kinh doanh gửi 01 bộ hồ sơ đề nghị cấp Giấy phép đủ điều kiện kinh doanh dịch vụ karaoke tới cơ quan quản lý nhà nước về văn hóa cấp huyện theo phân cấp, ủy quyền của cơ quan quản lý nhà nước về văn hóa thuộc Uỷ ban nhân dân tỉnh, thành phố trực thuộc trung ương.
- Trường hợp hồ sơ chưa đầy đủ theo quy định, trong thời hạn 01 ngày          làm việc kể từ ngày nhận hồ sơ, cơ quan quản lý nhà nước về văn hóa cấp huyện được phân cấp có văn bản thông báo yêu cầu hoàn thiện hồ sơ. 
- Trường hợp hồ sơ đầy đủ theo quy định, trong thời hạn 05 ngày làm việc, kể từ ngày nhận đủ hồ sơ hợp lệ, cơ quan quản lý nhà nước về văn hóa cấp huyện theo phân cấp của cơ quan quản lý nhà nước về văn hóa thuộc Uỷ ban nhân dân tỉnh, thành phố trực thuộc trung ương có trách nhiệm thẩm định hồ sơ, thẩm định thực tế các điều kiện theo quy định và cấp Giấy phép (theo Mẫu số 02 tại Phụ lục ban hành kèm theo Nghị định số 54/2019/NĐ-CP ngày 19 tháng 6 năm 2019). Trường hợp không cấp Giấy phép đủ điều kiện kinh doanh dịch vụ karaoke phải trả lời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Phí : 2.000.000 Đồng</w:t>
              <w:t xml:space="preserve"> (Tại các khu vực khác: Từ 01 đến 03 phòng, mức thu phí là 2.000.000 đồng/giấy;)</w:t>
            </w:r>
          </w:p>
          <w:p>
            <w:pPr>
              <w:spacing w:after="0" w:before="0" w:lineRule="auto" w:line="276"/>
              <w:jc w:val="left"/>
            </w:pPr>
            <w:r>
              <w:rPr>
                <w:rFonts w:ascii="Times New Roman" w:hAnsi="Times New Roman" w:cs="Times New Roman" w:eastAsia="Times New Roman"/>
                <w:b w:val="false"/>
                <w:sz w:val="26"/>
              </w:rPr>
              <w:t>Phí : 3.000.000 Đồng</w:t>
              <w:t xml:space="preserve"> (Tại các khu vực khác: Từ 04 đến 05 phòng: 3.000.000 đồng/giấy.)</w:t>
            </w:r>
          </w:p>
          <w:p>
            <w:pPr>
              <w:spacing w:after="0" w:before="0" w:lineRule="auto" w:line="276"/>
              <w:jc w:val="left"/>
            </w:pPr>
            <w:r>
              <w:rPr>
                <w:rFonts w:ascii="Times New Roman" w:hAnsi="Times New Roman" w:cs="Times New Roman" w:eastAsia="Times New Roman"/>
                <w:b w:val="false"/>
                <w:sz w:val="26"/>
              </w:rPr>
              <w:t>Phí : 4.000.000 Đồng</w:t>
              <w:t xml:space="preserve"> (Tại các thành phố, thị xã thuộc tỉnh: + Từ 01 đến 03 phòng: 4.000.000 đồng/giấy.)</w:t>
            </w:r>
          </w:p>
          <w:p>
            <w:pPr>
              <w:spacing w:after="0" w:before="0" w:lineRule="auto" w:line="276"/>
              <w:jc w:val="left"/>
            </w:pPr>
            <w:r>
              <w:rPr>
                <w:rFonts w:ascii="Times New Roman" w:hAnsi="Times New Roman" w:cs="Times New Roman" w:eastAsia="Times New Roman"/>
                <w:b w:val="false"/>
                <w:sz w:val="26"/>
              </w:rPr>
              <w:t>Phí : 6.000.000 Đồng</w:t>
              <w:t xml:space="preserve"> (Tại các khu vực khác: Từ 06 phòng trở lên: 6.000.000 đồng/giấy.)</w:t>
            </w:r>
          </w:p>
          <w:p>
            <w:pPr>
              <w:spacing w:after="0" w:before="0" w:lineRule="auto" w:line="276"/>
              <w:jc w:val="left"/>
            </w:pPr>
            <w:r>
              <w:rPr>
                <w:rFonts w:ascii="Times New Roman" w:hAnsi="Times New Roman" w:cs="Times New Roman" w:eastAsia="Times New Roman"/>
                <w:b w:val="false"/>
                <w:sz w:val="26"/>
              </w:rPr>
              <w:t>Phí : 6.000.000 Đồng</w:t>
              <w:t xml:space="preserve"> (Tại các thành phố, thị xã thuộc tỉnh: Từ 04 đến 05 phòng: 6.000.000 đồng/giấy.)</w:t>
            </w:r>
          </w:p>
          <w:p>
            <w:pPr>
              <w:spacing w:after="0" w:before="0" w:lineRule="auto" w:line="276"/>
              <w:jc w:val="left"/>
            </w:pPr>
            <w:r>
              <w:rPr>
                <w:rFonts w:ascii="Times New Roman" w:hAnsi="Times New Roman" w:cs="Times New Roman" w:eastAsia="Times New Roman"/>
                <w:b w:val="false"/>
                <w:sz w:val="26"/>
              </w:rPr>
              <w:t>Phí : 12.000.000 Đồng</w:t>
              <w:t xml:space="preserve"> (Tại các thành phố, thị xã thuộc tỉnh: Từ 06 phòng trở lên: 12.000.000 đồng/giấy.)</w:t>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Phí : 4.000.000 Đồng</w:t>
              <w:t xml:space="preserve"> (Tại các thành phố, thị xã thuộc tỉnh: + Từ 01 đến 03 phòng: 4.000.000 đồng/giấy.)</w:t>
            </w:r>
          </w:p>
          <w:p>
            <w:pPr>
              <w:spacing w:after="0" w:before="0" w:lineRule="auto" w:line="276"/>
              <w:jc w:val="left"/>
            </w:pPr>
            <w:r>
              <w:rPr>
                <w:rFonts w:ascii="Times New Roman" w:hAnsi="Times New Roman" w:cs="Times New Roman" w:eastAsia="Times New Roman"/>
                <w:b w:val="false"/>
                <w:sz w:val="26"/>
              </w:rPr>
              <w:t>Phí : 2.000.000 Đồng</w:t>
              <w:t xml:space="preserve"> (Tại các khu vực khác: Từ 01 đến 03 phòng, mức thu phí là 2.000.000 đồng/giấy;)</w:t>
            </w:r>
          </w:p>
          <w:p>
            <w:pPr>
              <w:spacing w:after="0" w:before="0" w:lineRule="auto" w:line="276"/>
              <w:jc w:val="left"/>
            </w:pPr>
            <w:r>
              <w:rPr>
                <w:rFonts w:ascii="Times New Roman" w:hAnsi="Times New Roman" w:cs="Times New Roman" w:eastAsia="Times New Roman"/>
                <w:b w:val="false"/>
                <w:sz w:val="26"/>
              </w:rPr>
              <w:t>Phí : 3.000.000 Đồng</w:t>
              <w:t xml:space="preserve"> (Tại các khu vực khác: Từ 04 đến 05 phòng: 3.000.000 đồng/giấy.)</w:t>
            </w:r>
          </w:p>
          <w:p>
            <w:pPr>
              <w:spacing w:after="0" w:before="0" w:lineRule="auto" w:line="276"/>
              <w:jc w:val="left"/>
            </w:pPr>
            <w:r>
              <w:rPr>
                <w:rFonts w:ascii="Times New Roman" w:hAnsi="Times New Roman" w:cs="Times New Roman" w:eastAsia="Times New Roman"/>
                <w:b w:val="false"/>
                <w:sz w:val="26"/>
              </w:rPr>
              <w:t>Phí : 6.000.000 Đồng</w:t>
              <w:t xml:space="preserve"> (Tại các thành phố, thị xã thuộc tỉnh: Từ 04 đến 05 phòng: 6.000.000 đồng/giấy.)</w:t>
            </w:r>
          </w:p>
          <w:p>
            <w:pPr>
              <w:spacing w:after="0" w:before="0" w:lineRule="auto" w:line="276"/>
              <w:jc w:val="left"/>
            </w:pPr>
            <w:r>
              <w:rPr>
                <w:rFonts w:ascii="Times New Roman" w:hAnsi="Times New Roman" w:cs="Times New Roman" w:eastAsia="Times New Roman"/>
                <w:b w:val="false"/>
                <w:sz w:val="26"/>
              </w:rPr>
              <w:t>Phí : 6.000.000 Đồng</w:t>
              <w:t xml:space="preserve"> (Tại các khu vực khác: Từ 06 phòng trở lên: 6.000.000 đồng/giấy.)</w:t>
            </w:r>
          </w:p>
          <w:p>
            <w:pPr>
              <w:spacing w:after="0" w:before="0" w:lineRule="auto" w:line="276"/>
              <w:jc w:val="left"/>
            </w:pPr>
            <w:r>
              <w:rPr>
                <w:rFonts w:ascii="Times New Roman" w:hAnsi="Times New Roman" w:cs="Times New Roman" w:eastAsia="Times New Roman"/>
                <w:b w:val="false"/>
                <w:sz w:val="26"/>
              </w:rPr>
              <w:t>Phí : 12.000.000 Đồng</w:t>
              <w:t xml:space="preserve"> (Tại các thành phố, thị xã thuộc tỉnh: Từ 06 phòng trở lên: 12.000.000 đồng/giấy.)</w:t>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 theo quy định.
-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Phí : 2.000.000 Đồng</w:t>
              <w:t xml:space="preserve"> (Tại các khu vực khác: Từ 01 đến 03 phòng, mức thu phí là 2.000.000 đồng/giấy;)</w:t>
            </w:r>
          </w:p>
          <w:p>
            <w:pPr>
              <w:spacing w:after="0" w:before="0" w:lineRule="auto" w:line="276"/>
              <w:jc w:val="left"/>
            </w:pPr>
            <w:r>
              <w:rPr>
                <w:rFonts w:ascii="Times New Roman" w:hAnsi="Times New Roman" w:cs="Times New Roman" w:eastAsia="Times New Roman"/>
                <w:b w:val="false"/>
                <w:sz w:val="26"/>
              </w:rPr>
              <w:t>Phí : 3.000.000 Đồng</w:t>
              <w:t xml:space="preserve"> (Tại các khu vực khác: Từ 04 đến 05 phòng: 3.000.000 đồng/giấy.)</w:t>
            </w:r>
          </w:p>
          <w:p>
            <w:pPr>
              <w:spacing w:after="0" w:before="0" w:lineRule="auto" w:line="276"/>
              <w:jc w:val="left"/>
            </w:pPr>
            <w:r>
              <w:rPr>
                <w:rFonts w:ascii="Times New Roman" w:hAnsi="Times New Roman" w:cs="Times New Roman" w:eastAsia="Times New Roman"/>
                <w:b w:val="false"/>
                <w:sz w:val="26"/>
              </w:rPr>
              <w:t>Phí : 4.000.000 Đồng</w:t>
              <w:t xml:space="preserve"> (Tại các thành phố, thị xã thuộc tỉnh: + Từ 01 đến 03 phòng: 4.000.000 đồng/giấy.)</w:t>
            </w:r>
          </w:p>
          <w:p>
            <w:pPr>
              <w:spacing w:after="0" w:before="0" w:lineRule="auto" w:line="276"/>
              <w:jc w:val="left"/>
            </w:pPr>
            <w:r>
              <w:rPr>
                <w:rFonts w:ascii="Times New Roman" w:hAnsi="Times New Roman" w:cs="Times New Roman" w:eastAsia="Times New Roman"/>
                <w:b w:val="false"/>
                <w:sz w:val="26"/>
              </w:rPr>
              <w:t>Phí : 6.000.000 Đồng</w:t>
              <w:t xml:space="preserve"> (Tại các khu vực khác: Từ 06 phòng trở lên: 6.000.000 đồng/giấy.)</w:t>
            </w:r>
          </w:p>
          <w:p>
            <w:pPr>
              <w:spacing w:after="0" w:before="0" w:lineRule="auto" w:line="276"/>
              <w:jc w:val="left"/>
            </w:pPr>
            <w:r>
              <w:rPr>
                <w:rFonts w:ascii="Times New Roman" w:hAnsi="Times New Roman" w:cs="Times New Roman" w:eastAsia="Times New Roman"/>
                <w:b w:val="false"/>
                <w:sz w:val="26"/>
              </w:rPr>
              <w:t>Phí : 6.000.000 Đồng</w:t>
              <w:t xml:space="preserve"> (Tại các thành phố, thị xã thuộc tỉnh: Từ 04 đến 05 phòng: 6.000.000 đồng/giấy.)</w:t>
            </w:r>
          </w:p>
          <w:p>
            <w:pPr>
              <w:spacing w:after="0" w:before="0" w:lineRule="auto" w:line="276"/>
              <w:jc w:val="left"/>
            </w:pPr>
            <w:r>
              <w:rPr>
                <w:rFonts w:ascii="Times New Roman" w:hAnsi="Times New Roman" w:cs="Times New Roman" w:eastAsia="Times New Roman"/>
                <w:b w:val="false"/>
                <w:sz w:val="26"/>
              </w:rPr>
              <w:t>Phí : 12.000.000 Đồng</w:t>
              <w:t xml:space="preserve"> (Tại các thành phố, thị xã thuộc tỉnh: Từ 06 phòng trở lên: 12.000.000 đồng/giấy.)</w:t>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Giấy phép đủ điều kiện kinh doanh dịch vụ karaoke (Mẫu số 01 tại Phụ lục ban hành kèm theo Nghị định số 54/2019/NĐ-CP ngày 19 tháng 6 năm 2019)</w:t>
            </w:r>
          </w:p>
        </w:tc>
        <w:tc>
          <w:p/>
          <w:p>
            <w:pPr>
              <w:spacing w:after="0" w:before="0" w:lineRule="auto" w:line="276"/>
              <w:jc w:val="left"/>
            </w:pPr>
            <w:r>
              <w:rPr>
                <w:rFonts w:ascii="Times New Roman" w:hAnsi="Times New Roman" w:cs="Times New Roman" w:eastAsia="Times New Roman"/>
                <w:b w:val="false"/>
                <w:sz w:val="26"/>
              </w:rPr>
              <w:t>MS 01.docx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có chứng thực hoặc bản sao có xuất trình bản chính để đối chiếu Giấy chứng nhận đủ điều kiện về an ninh, trật tự.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Văn hóa thông tin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Hội đồng nhân dân vàỦy ban nhân dân cấp huyện; -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đủ điều kiện kinh doanh dịch vụ karaoke, vũ trường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54/2019/NĐ-CP</w:t>
            </w:r>
          </w:p>
        </w:tc>
        <w:tc>
          <w:p/>
          <w:p>
            <w:pPr>
              <w:spacing w:after="0" w:before="0" w:lineRule="auto" w:line="276"/>
              <w:jc w:val="left"/>
            </w:pPr>
            <w:r>
              <w:rPr>
                <w:rFonts w:ascii="Times New Roman" w:hAnsi="Times New Roman" w:cs="Times New Roman" w:eastAsia="Times New Roman"/>
                <w:b w:val="false"/>
                <w:sz w:val="26"/>
              </w:rPr>
              <w:t>Nghị định 54/2019/NĐ-CP</w:t>
            </w:r>
          </w:p>
        </w:tc>
        <w:tc>
          <w:p/>
          <w:p>
            <w:pPr>
              <w:spacing w:after="0" w:before="0" w:lineRule="auto" w:line="276"/>
              <w:jc w:val="left"/>
            </w:pPr>
            <w:r>
              <w:rPr>
                <w:rFonts w:ascii="Times New Roman" w:hAnsi="Times New Roman" w:cs="Times New Roman" w:eastAsia="Times New Roman"/>
                <w:b w:val="false"/>
                <w:sz w:val="26"/>
              </w:rPr>
              <w:t>19-06-2019</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03/2019/QĐ-UBND</w:t>
            </w:r>
          </w:p>
        </w:tc>
        <w:tc>
          <w:p/>
          <w:p>
            <w:pPr>
              <w:spacing w:after="0" w:before="0" w:lineRule="auto" w:line="276"/>
              <w:jc w:val="left"/>
            </w:pPr>
            <w:r>
              <w:rPr>
                <w:rFonts w:ascii="Times New Roman" w:hAnsi="Times New Roman" w:cs="Times New Roman" w:eastAsia="Times New Roman"/>
                <w:b w:val="false"/>
                <w:sz w:val="26"/>
              </w:rPr>
              <w:t>Quyết định 03/2019/QĐ-UBND</w:t>
            </w:r>
          </w:p>
        </w:tc>
        <w:tc>
          <w:p/>
          <w:p>
            <w:pPr>
              <w:spacing w:after="0" w:before="0" w:lineRule="auto" w:line="276"/>
              <w:jc w:val="left"/>
            </w:pPr>
            <w:r>
              <w:rPr>
                <w:rFonts w:ascii="Times New Roman" w:hAnsi="Times New Roman" w:cs="Times New Roman" w:eastAsia="Times New Roman"/>
                <w:b w:val="false"/>
                <w:sz w:val="26"/>
              </w:rPr>
              <w:t>30-01-2019</w:t>
            </w:r>
          </w:p>
        </w:tc>
        <w:tc>
          <w:p/>
        </w:tc>
      </w:tr>
      <w:tr>
        <w:tc>
          <w:p/>
          <w:p>
            <w:pPr>
              <w:spacing w:after="0" w:before="0" w:lineRule="auto" w:line="276"/>
              <w:jc w:val="left"/>
            </w:pPr>
            <w:r>
              <w:rPr>
                <w:rFonts w:ascii="Times New Roman" w:hAnsi="Times New Roman" w:cs="Times New Roman" w:eastAsia="Times New Roman"/>
                <w:b w:val="false"/>
                <w:sz w:val="26"/>
              </w:rPr>
              <w:t>01/2021/TT-BTC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thẩm định cấp giấy phép kinh doanh karaoke, vũ trường</w:t>
            </w:r>
          </w:p>
        </w:tc>
        <w:tc>
          <w:p/>
          <w:p>
            <w:pPr>
              <w:spacing w:after="0" w:before="0" w:lineRule="auto" w:line="276"/>
              <w:jc w:val="left"/>
            </w:pPr>
            <w:r>
              <w:rPr>
                <w:rFonts w:ascii="Times New Roman" w:hAnsi="Times New Roman" w:cs="Times New Roman" w:eastAsia="Times New Roman"/>
                <w:b w:val="false"/>
                <w:sz w:val="26"/>
              </w:rPr>
              <w:t>07-01-2021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kiện thực hiện thủ tục hành chính khi kinh doanh dịch vụ karaoke:
(1) Là doanh nghiệp hoặc hộ kinh doanh được thành lập theo quy định của      pháp luật;
(2) Bảo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
(3) Phòng hát phải có diện tích sử dụng từ 20m2 trở lên, không kể
công trình phụ;
(4) Không được đặt chốt cửa bên trong phòng hát hoặc đặt thiết bị báo động       (trừ các thiết bị báo cháy nổ).
 Trách nhiệm chung của doanh nghiệp, hộ kinh doanh khi kinh doanh dịch vụ karaoke phải tuân theo các quy định sau đây:
(1) Chỉ sử dụng các bài hát được phép phổ biến, lưu hành.
(2) Chấp hành pháp luật lao động với người lao động theo quy định của pháp luật. Cung cấp trang phục, biển tên cho người lao động.
(3) Bảo đảm đủ điều kiện cách âm và âm thanh thoát ra ngoài phòng hát phù hợp với Quy chuẩn kỹ thuật quốc gia về tiếng ồn.
(4) Tuân thủ quy định tại Nghị định số 105/2017/NĐ-CP ngày 14 tháng 9 năm 2017 của Chính phủ về kinh doanh rượu.
(5) Tuân thủ quy định của pháp luật về phòng, chống tác hại của thuốc lá.
(6)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
 Trách nhiệm của doanh nghiệp, hộ kinh doanh khi kinh doanh dịch vụ karaoke phải phải tuân theo các quy định sau đây:
Ngoài trách nhiệm quy định tại Điều 6 Nghị định số 54/2019/NĐ-CP ngày 19 tháng 6 năm 2019, doanh nghiệp hoặc hộ kinh doanh dịch vụ karaoke có trách nhiệm:
(1) Bảo đảm hình ảnh phù hợp lời bài hát thể hiện trên màn hình
(hoặc hình thức tương tự) và văn hóa, đạo đức, thuần phong mỹ tục của dân tộc      Việt Nam.
(2) Không được hoạt động từ 0 giờ sáng đến 08 giờ sáng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2024-03-28T11:56:12Z</dcterms:created>
  <dc:creator>Apache POI</dc:creator>
</cp:coreProperties>
</file>