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1.001078.000.00.00.H56</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2742/QĐ-UBND</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Thủ tục thông báo danh mục hoạt động tôn giáo đối với tổ chức có địa bàn hoạt động tôn giáo ở một xã</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Xã</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được luật giao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Tôn giáo Chính phủ</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Gửi văn bản thông báo trực tiếp tại Ủy ban nhân dân cấp xã; qua đường bưu chính hoặc thông qua dịch vụ công trực tuyến.
Văn bản thông báo phải có xác nhận của Ủy ban nhân dân cấp xã. Nếu gửi qua đường bưu chính, ngày tiếp nhận văn bản thông báo được tính theo ngày ghi trên dấu công văn đến.</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 xml:space="preserve">Ngay sau khi Ủy ban nhân dân cấp xã nhận được văn bản thông báo hợp lệ </w:t>
            </w:r>
          </w:p>
        </w:tc>
        <w:tc>
          <w:p/>
          <w:p>
            <w:pPr>
              <w:spacing w:after="0" w:before="0" w:lineRule="auto" w:line="276"/>
              <w:jc w:val="left"/>
            </w:pPr>
            <w:r>
              <w:rPr>
                <w:rFonts w:ascii="Times New Roman" w:hAnsi="Times New Roman" w:cs="Times New Roman" w:eastAsia="Times New Roman"/>
                <w:b w:val="false"/>
                <w:sz w:val="26"/>
              </w:rPr>
              <w:t>Phí : 0 Đồng</w:t>
            </w:r>
          </w:p>
        </w:tc>
        <w:tc>
          <w:p/>
          <w:p>
            <w:pPr>
              <w:spacing w:after="0" w:before="0" w:lineRule="auto" w:line="276"/>
              <w:jc w:val="left"/>
            </w:pPr>
            <w:r>
              <w:rPr>
                <w:rFonts w:ascii="Times New Roman" w:hAnsi="Times New Roman" w:cs="Times New Roman" w:eastAsia="Times New Roman"/>
                <w:b w:val="false"/>
                <w:sz w:val="26"/>
              </w:rPr>
              <w:t>Ngay sau khi Ủy ban nhân dân cấp xã nhận được văn bản thông báo hợp lệ. Gửi văn bản thông báo trực tiếp tại Ủy ban nhân dân cấp xã; qua đường bưu chính hoặc thông qua dịch vụ công trực tuyến. 
Văn bản thông báo phải có xác nhận của Ủy ban nhân dân cấp xã. Nếu gửi qua đường bưu chính, ngày tiếp nhận văn bản thông báo được tính theo ngày ghi trên dấu công văn đến.</w:t>
            </w:r>
          </w:p>
        </w:tc>
      </w:tr>
      <w:tr>
        <w:tc>
          <w:p/>
          <w:p>
            <w:pPr>
              <w:spacing w:after="0" w:before="0" w:lineRule="auto" w:line="276"/>
              <w:jc w:val="left"/>
            </w:pPr>
            <w:r>
              <w:rPr>
                <w:rFonts w:ascii="Times New Roman" w:hAnsi="Times New Roman" w:cs="Times New Roman" w:eastAsia="Times New Roman"/>
                <w:b w:val="false"/>
                <w:sz w:val="26"/>
              </w:rPr>
              <w:t>Trực tuyến</w:t>
            </w:r>
          </w:p>
        </w:tc>
        <w:tc>
          <w:p/>
          <w:p>
            <w:pPr>
              <w:spacing w:after="0" w:before="0" w:lineRule="auto" w:line="276"/>
              <w:jc w:val="left"/>
            </w:pPr>
            <w:r>
              <w:rPr>
                <w:rFonts w:ascii="Times New Roman" w:hAnsi="Times New Roman" w:cs="Times New Roman" w:eastAsia="Times New Roman"/>
                <w:b w:val="false"/>
                <w:sz w:val="26"/>
              </w:rPr>
              <w:t xml:space="preserve">Ngay sau khi Ủy ban nhân dân cấp xã nhận được văn bản thông báo hợp lệ. </w:t>
            </w:r>
          </w:p>
        </w:tc>
        <w:tc>
          <w:p/>
          <w:p>
            <w:pPr>
              <w:spacing w:after="0" w:before="0" w:lineRule="auto" w:line="276"/>
              <w:jc w:val="left"/>
            </w:pPr>
            <w:r>
              <w:rPr>
                <w:rFonts w:ascii="Times New Roman" w:hAnsi="Times New Roman" w:cs="Times New Roman" w:eastAsia="Times New Roman"/>
                <w:b w:val="false"/>
                <w:sz w:val="26"/>
              </w:rPr>
              <w:t>Phí : 0 Đồng</w:t>
            </w:r>
          </w:p>
        </w:tc>
        <w:tc>
          <w:p/>
          <w:p>
            <w:pPr>
              <w:spacing w:after="0" w:before="0" w:lineRule="auto" w:line="276"/>
              <w:jc w:val="left"/>
            </w:pPr>
            <w:r>
              <w:rPr>
                <w:rFonts w:ascii="Times New Roman" w:hAnsi="Times New Roman" w:cs="Times New Roman" w:eastAsia="Times New Roman"/>
                <w:b w:val="false"/>
                <w:sz w:val="26"/>
              </w:rPr>
              <w:t>Ngay sau khi Ủy ban nhân dân cấp xã nhận được văn bản thông báo hợp lệ. Gửi văn bản thông báo trực tiếp tại Ủy ban nhân dân cấp xã; qua đường bưu chính hoặc thông qua dịch vụ công trực tuyến. Văn bản thông báo phải có xác nhận của Ủy ban nhân dân cấp xã. Nếu gửi qua đường bưu chính, ngày tiếp nhận văn bản thông báo được tính theo ngày ghi trên dấu công văn đến.
- Địa chỉ trực tuyến: https://dichvucong.thanhhoa.gov.vn (toàn trình)</w:t>
            </w:r>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 xml:space="preserve">Ngay sau khi Ủy ban nhân dân cấp xã nhận được văn bản thông báo hợp lệ </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Ngay sau khi Ủy ban nhân dân cấp xã nhận được văn bản thông báo hợp lệ. Gửi văn bản thông báo trực tiếp tại Ủy ban nhân dân cấp xã; qua đường bưu chính hoặc thông qua dịch vụ công trực tuyến. Văn bản thông báo phải có xác nhận của Ủy ban nhân dân cấp xã. Nếu gửi qua đường bưu chính, ngày tiếp nhận văn bản thông báo được tính theo ngày ghi trên dấu công văn đến.</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Văn bản thông báo (theo mẫu) và các tài liệu kèm theo (nếu có).</w:t>
            </w:r>
          </w:p>
        </w:tc>
        <w:tc>
          <w:p/>
          <w:p>
            <w:pPr>
              <w:spacing w:after="0" w:before="0" w:lineRule="auto" w:line="276"/>
              <w:jc w:val="left"/>
            </w:pPr>
            <w:r>
              <w:rPr>
                <w:rFonts w:ascii="Times New Roman" w:hAnsi="Times New Roman" w:cs="Times New Roman" w:eastAsia="Times New Roman"/>
                <w:b w:val="false"/>
                <w:sz w:val="26"/>
              </w:rPr>
              <w:t>Mẫu B30.docx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Tổ chức (không bao gồm doanh nghiệp, HTX)</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Ủy ban Nhân dân xã, phường, thị trấn.</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Ủy ban nhân dân cấp xã</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Bộ phận tiếp nhận và trả kết quả thuộc UBND cấp xã; - Địa chỉ trực tuyến: https://dichvucong.thanhhoa.gov.vn (toàn trình)</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Văn bản xác nhận của Ủy ban nhân dân cấp xã về việc tiếp nhận thông báo. Văn bản thông báo được lưu tại Ủy ban nhân dân cấp xã để thực hiện công tác quản lý nhà nước về tín ngưỡng, tôn giáo (cấp xã).</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02/2016/QH14</w:t>
            </w:r>
          </w:p>
        </w:tc>
        <w:tc>
          <w:p/>
          <w:p>
            <w:pPr>
              <w:spacing w:after="0" w:before="0" w:lineRule="auto" w:line="276"/>
              <w:jc w:val="left"/>
            </w:pPr>
            <w:r>
              <w:rPr>
                <w:rFonts w:ascii="Times New Roman" w:hAnsi="Times New Roman" w:cs="Times New Roman" w:eastAsia="Times New Roman"/>
                <w:b w:val="false"/>
                <w:sz w:val="26"/>
              </w:rPr>
              <w:t>Luật 02/2016/QH14</w:t>
            </w:r>
          </w:p>
        </w:tc>
        <w:tc>
          <w:p/>
          <w:p>
            <w:pPr>
              <w:spacing w:after="0" w:before="0" w:lineRule="auto" w:line="276"/>
              <w:jc w:val="left"/>
            </w:pPr>
            <w:r>
              <w:rPr>
                <w:rFonts w:ascii="Times New Roman" w:hAnsi="Times New Roman" w:cs="Times New Roman" w:eastAsia="Times New Roman"/>
                <w:b w:val="false"/>
                <w:sz w:val="26"/>
              </w:rPr>
              <w:t>18-11-2016</w:t>
            </w:r>
          </w:p>
        </w:tc>
        <w:tc>
          <w:p/>
          <w:p>
            <w:pPr>
              <w:spacing w:after="0" w:before="0" w:lineRule="auto" w:line="276"/>
              <w:jc w:val="left"/>
            </w:pPr>
            <w:r>
              <w:rPr>
                <w:rFonts w:ascii="Times New Roman" w:hAnsi="Times New Roman" w:cs="Times New Roman" w:eastAsia="Times New Roman"/>
                <w:b w:val="false"/>
                <w:sz w:val="26"/>
              </w:rPr>
              <w:t>Quốc Hội</w:t>
            </w:r>
          </w:p>
        </w:tc>
      </w:tr>
      <w:tr>
        <w:tc>
          <w:p/>
          <w:p>
            <w:pPr>
              <w:spacing w:after="0" w:before="0" w:lineRule="auto" w:line="276"/>
              <w:jc w:val="left"/>
            </w:pPr>
            <w:r>
              <w:rPr>
                <w:rFonts w:ascii="Times New Roman" w:hAnsi="Times New Roman" w:cs="Times New Roman" w:eastAsia="Times New Roman"/>
                <w:b w:val="false"/>
                <w:sz w:val="26"/>
              </w:rPr>
              <w:t>162/2017/NĐ-CP</w:t>
            </w:r>
          </w:p>
        </w:tc>
        <w:tc>
          <w:p/>
          <w:p>
            <w:pPr>
              <w:spacing w:after="0" w:before="0" w:lineRule="auto" w:line="276"/>
              <w:jc w:val="left"/>
            </w:pPr>
            <w:r>
              <w:rPr>
                <w:rFonts w:ascii="Times New Roman" w:hAnsi="Times New Roman" w:cs="Times New Roman" w:eastAsia="Times New Roman"/>
                <w:b w:val="false"/>
                <w:sz w:val="26"/>
              </w:rPr>
              <w:t>Nghị định 162/2017/NĐ-CP</w:t>
            </w:r>
          </w:p>
        </w:tc>
        <w:tc>
          <w:p/>
          <w:p>
            <w:pPr>
              <w:spacing w:after="0" w:before="0" w:lineRule="auto" w:line="276"/>
              <w:jc w:val="left"/>
            </w:pPr>
            <w:r>
              <w:rPr>
                <w:rFonts w:ascii="Times New Roman" w:hAnsi="Times New Roman" w:cs="Times New Roman" w:eastAsia="Times New Roman"/>
                <w:b w:val="false"/>
                <w:sz w:val="26"/>
              </w:rPr>
              <w:t>30-12-2017</w:t>
            </w:r>
          </w:p>
        </w:tc>
        <w:tc>
          <w:p/>
          <w:p>
            <w:pPr>
              <w:spacing w:after="0" w:before="0" w:lineRule="auto" w:line="276"/>
              <w:jc w:val="left"/>
            </w:pPr>
            <w:r>
              <w:rPr>
                <w:rFonts w:ascii="Times New Roman" w:hAnsi="Times New Roman" w:cs="Times New Roman" w:eastAsia="Times New Roman"/>
                <w:b w:val="false"/>
                <w:sz w:val="26"/>
              </w:rPr>
              <w:t>Chính phủ</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Chậm nhất là 30 ngày kể từ ngày được chấp thuận, tổ chức tôn giáo trực thuộc có địa bàn hoạt động tôn giáo ở một xã có trách nhiệm gửi văn bản thông báo danh mục hoạt động tôn giáo diễn ra hằng năm đến Ủy ban nhân dân cấp xã.
Chậm nhất là 30 ngày kể từ ngày Luật tín ngưỡng, tôn giáo có hiệu lực, tổ chức tôn giáo trực thuộc có địa bàn hoạt động tôn giáo ở mộtxã trước ngày Luật có hiệu lực có trách nhiệm thông báo danh mục hoạt động tôn giáo diễn ra hằng năm đến Ủy ban nhân dân cấp xã.
Việc thông báo danh mục hoạt động tôn giáo diễn ra hằng năm chỉ thực hiện một lần. Đối với các hoạt động tôn giáo không có trong danh mục đã thông báo thì người đại diện tổ chức có trách nhiệm gửi văn bản thông báo bổ sung đến Ủy ban nhân dân cấp xã.</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2024-03-19T10:03:02Z</dcterms:created>
  <dc:creator>Apache POI</dc:creator>
</cp:coreProperties>
</file>