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1.001156.000.00.00.H32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932/QĐ-UBND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thông báo về việc thay đổi địa điểm sinh hoạt tôn giáo tập trung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Chậm nhất là 10 ngày kể từ ngày được chấp thuận địa điểm mới, nhóm sinh hoạt tôn giáo tập trung phải chấm dứt sinh hoạt tôn giáo tại địa điểm cũ và thông báo bằng văn bản đến Ủy ban nhân dân cấp xã nơi có địa điểm sinh hoạt tôn giáo tập trung cũ.</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
</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tc>
        <w:tc>
          <w:p/>
          <w:p>
            <w:pPr>
              <w:spacing w:after="0" w:before="0" w:lineRule="auto" w:line="276"/>
              <w:jc w:val="left"/>
            </w:pPr>
            <w:r>
              <w:rPr>
                <w:rFonts w:ascii="Times New Roman" w:hAnsi="Times New Roman" w:cs="Times New Roman" w:eastAsia="Times New Roman"/>
                <w:b w:val="false"/>
                <w:sz w:val="26"/>
              </w:rPr>
              <w:t>Tên mẫu đơn.docx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xác nhận của Ủy ban nhân dân cấp xã về việc tiếp nhận thông báo. Văn bản thông báo được lưu tại Ủy ban nhân dân cấp xã để thực hiện công tác quản lý nhà nước về tín ngưỡng, tôn giáo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2024-03-29T00:13:57Z</dcterms:created>
  <dc:creator>Apache POI</dc:creator>
</cp:coreProperties>
</file>