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1.001439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47/QĐ-BYT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Xin phép tổ chức hội nghị, hội thảo quốc tế thuộc thẩm quyền giải quyết của Bộ Y tế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Y Dược cổ truyền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quan tổ chức hội thảo, hội nghị gửi hồ sơ xin phép tổ chức hội thảo quốc tế theo quy định đến Bộ Y tế (Vụ Hợp tác quốc tế) trước ít nhất 35 ngày làm việc trước ngày dự kiến tổ chức hội thảo, hội nghị quốc tế</w:t>
      </w:r>
    </w:p>
    <w:p>
      <w:pPr>
        <w:spacing w:after="0" w:before="0" w:lineRule="auto" w:line="276"/>
        <w:jc w:val="both"/>
      </w:pPr>
      <w:r>
        <w:rPr>
          <w:rFonts w:ascii="Times New Roman" w:hAnsi="Times New Roman" w:cs="Times New Roman" w:eastAsia="Times New Roman"/>
          <w:b w:val="false"/>
          <w:sz w:val="26"/>
        </w:rPr>
        <w:t>Bước 2: Trong thời gian 08 ngày làm việc, Vụ Hợp tác quốc tế tiếp nhận và xem xét hồ sơ xin phép tổ chức hội thảo, hội nghị quốc tế, nếu không có đề nghị sửa đổi, bổ sung hồ sơ thì gửi hồ sơ xin ý kiến của các đơn vị có liên quan trong cơ quan Bộ Y tế</w:t>
      </w:r>
    </w:p>
    <w:p>
      <w:pPr>
        <w:spacing w:after="0" w:before="0" w:lineRule="auto" w:line="276"/>
        <w:jc w:val="both"/>
      </w:pPr>
      <w:r>
        <w:rPr>
          <w:rFonts w:ascii="Times New Roman" w:hAnsi="Times New Roman" w:cs="Times New Roman" w:eastAsia="Times New Roman"/>
          <w:b w:val="false"/>
          <w:sz w:val="26"/>
        </w:rPr>
        <w:t>Bước 3: Trong thời gian 03 ngày làm việc, kể từ ngày nhận được văn bản trả lời của các đơn vị, Vụ hợp tác quốc tế có trách nhiệm tổng hợp ý kiến và trình Lãnh đạo Bộ Y tế xem xét, quyết định cho phép tổ chức hội thảo, hội nghị quốc tế</w:t>
      </w:r>
    </w:p>
    <w:p>
      <w:pPr>
        <w:spacing w:after="0" w:before="0" w:lineRule="auto" w:line="276"/>
        <w:jc w:val="both"/>
      </w:pPr>
      <w:r>
        <w:rPr>
          <w:rFonts w:ascii="Times New Roman" w:hAnsi="Times New Roman" w:cs="Times New Roman" w:eastAsia="Times New Roman"/>
          <w:b w:val="false"/>
          <w:sz w:val="26"/>
        </w:rPr>
        <w:t>Bước 4: Trường hợp Lãnh đạo BộY tế không cho phép tổ chức hội thảo, hội nghị quốc tế, Vụ Hợp tác quốc tế phải có văn bản thông báo cho cơ quan tổ chức hội thảo, hội nghị và nêu rõ lý d</w:t>
      </w:r>
    </w:p>
    <w:p>
      <w:pPr>
        <w:spacing w:after="0" w:before="0" w:lineRule="auto" w:line="276"/>
        <w:jc w:val="both"/>
      </w:pPr>
      <w:r>
        <w:rPr>
          <w:rFonts w:ascii="Times New Roman" w:hAnsi="Times New Roman" w:cs="Times New Roman" w:eastAsia="Times New Roman"/>
          <w:b w:val="false"/>
          <w:sz w:val="26"/>
        </w:rPr>
        <w:t>Bước 5: Gửi kết quả cho cơ quan xin phép tổ chức hội thảo, hội nghị</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11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11 ngày kể từ khi nhận được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11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11 ngày kể từ khi nhận được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Công văn xin phép tổ chức hội thảo, hội nghị quốc tế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Đề án tổ chức hội thảo, hội nghị quốc tế.</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Vụ Hợp tác quốc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cho phép</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76/2010/QĐ-TTg</w:t>
            </w:r>
          </w:p>
        </w:tc>
        <w:tc>
          <w:p/>
          <w:p>
            <w:pPr>
              <w:spacing w:after="0" w:before="0" w:lineRule="auto" w:line="276"/>
              <w:jc w:val="left"/>
            </w:pPr>
            <w:r>
              <w:rPr>
                <w:rFonts w:ascii="Times New Roman" w:hAnsi="Times New Roman" w:cs="Times New Roman" w:eastAsia="Times New Roman"/>
                <w:b w:val="false"/>
                <w:sz w:val="26"/>
              </w:rPr>
              <w:t>Quyết định 76/2010/QĐ-TTg  Về việc tổ chức, quản lý hội nghị, hội thảo quốc tế tại Việt Nam</w:t>
            </w:r>
          </w:p>
        </w:tc>
        <w:tc>
          <w:p/>
          <w:p>
            <w:pPr>
              <w:spacing w:after="0" w:before="0" w:lineRule="auto" w:line="276"/>
              <w:jc w:val="left"/>
            </w:pPr>
            <w:r>
              <w:rPr>
                <w:rFonts w:ascii="Times New Roman" w:hAnsi="Times New Roman" w:cs="Times New Roman" w:eastAsia="Times New Roman"/>
                <w:b w:val="false"/>
                <w:sz w:val="26"/>
              </w:rPr>
              <w:t>30-11-2010</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09/2013/TT-BYT</w:t>
            </w:r>
          </w:p>
        </w:tc>
        <w:tc>
          <w:p/>
          <w:p>
            <w:pPr>
              <w:spacing w:after="0" w:before="0" w:lineRule="auto" w:line="276"/>
              <w:jc w:val="left"/>
            </w:pPr>
            <w:r>
              <w:rPr>
                <w:rFonts w:ascii="Times New Roman" w:hAnsi="Times New Roman" w:cs="Times New Roman" w:eastAsia="Times New Roman"/>
                <w:b w:val="false"/>
                <w:sz w:val="26"/>
              </w:rPr>
              <w:t>Thông tư 09/2013/TT-BYT Hướng dẫn việc tổ chức, quản lý hội nghị, hội thảo quốc tế về y tế tại Việt Nam</w:t>
            </w:r>
          </w:p>
        </w:tc>
        <w:tc>
          <w:p/>
          <w:p>
            <w:pPr>
              <w:spacing w:after="0" w:before="0" w:lineRule="auto" w:line="276"/>
              <w:jc w:val="left"/>
            </w:pPr>
            <w:r>
              <w:rPr>
                <w:rFonts w:ascii="Times New Roman" w:hAnsi="Times New Roman" w:cs="Times New Roman" w:eastAsia="Times New Roman"/>
                <w:b w:val="false"/>
                <w:sz w:val="26"/>
              </w:rPr>
              <w:t>29-03-2013</w:t>
            </w:r>
          </w:p>
        </w:tc>
        <w:tc>
          <w:p/>
          <w:p>
            <w:pPr>
              <w:spacing w:after="0" w:before="0" w:lineRule="auto" w:line="276"/>
              <w:jc w:val="left"/>
            </w:pPr>
            <w:r>
              <w:rPr>
                <w:rFonts w:ascii="Times New Roman" w:hAnsi="Times New Roman" w:cs="Times New Roman" w:eastAsia="Times New Roman"/>
                <w:b w:val="false"/>
                <w:sz w:val="26"/>
              </w:rPr>
              <w:t>Bộ Y tế</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Đề án tổ chức hội thảo, hội nghị quốc tế gồm các nội dung sau:
a) Lý do, danh nghĩa tổ chức, mục đích của hội thảo, hội nghị;
b) Thời gian và địa điểm tổ chức hội thảo, hội nghị; địa điểm tham quan, khảo sát (nếu có);
c) Hình thức và công nghệ tổ chức (trong trường hợp tổ chức hội thảo, hội nghị trực tuyến);
d) Nội dung, chương trình làm việc và các hoạt động bên lề hội thảo, hội nghị;
đ) Thành phần tham gia tổ chức: cơ quan phía Việt Nam, cơ quan phía nước ngoài, cơ quan tài trợ (nếu có);
e) Thành phần tham dự: số lượng và cơ cấu thành phần đại biểu, bao gồm cả đại biểu Việt Nam và đại biểu có quốc tịch nước ngoài;
g) Nguồn kinh phí và dự toán chi tiết tổ chức hội thảo, hội nghị quốc tế</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2024-03-29T00:20:43Z</dcterms:created>
  <dc:creator>Apache POI</dc:creator>
</cp:coreProperties>
</file>