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1.001653.000.00.00.H28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335 /QĐ-UBND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Đổi, cấp lại Giấy xác nhận khuyết tật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Khi có nhu cầu đổi hoặc cấp lại Giấy xác nhận khuyết tật thì người khuyết tật hoặc người đại diện hợp pháp của người khuyết tật làm đơn theo Mẫu số 01 ban hành kèm theo Thông tư số 01/2019/TT-BLĐTBXH (được sửa đổi, bổ sung tại Thông tư số 08/2023/TT-BLĐTBXH) gửi Bộ phận tiếp nhận và trả kết quả của Ủy ban nhân dân cấp xã nơi người khuyết tật cư trú.</w:t>
      </w:r>
    </w:p>
    <w:p>
      <w:pPr>
        <w:spacing w:after="0" w:before="0" w:lineRule="auto" w:line="276"/>
        <w:jc w:val="both"/>
      </w:pPr>
      <w:r>
        <w:rPr>
          <w:rFonts w:ascii="Times New Roman" w:hAnsi="Times New Roman" w:cs="Times New Roman" w:eastAsia="Times New Roman"/>
          <w:b w:val="false"/>
          <w:sz w:val="26"/>
        </w:rPr>
        <w:t>Bước 2: Sau 05 ngày làm việc, Chủ tịch Ủy ban nhân dân cấp xã căn cứ hồ sơ đang lưu giữ quyết định đổi hoặc cấp lại Giấy xác nhận khuyết tật.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đổi, cấp lại Giấy xác nhận khuyết tật theo Mẫu số 01 ban hành kèm theo Thông tư số 01/2019/TT-BLĐTBXH (được sửa đổi, bổ sung tại Thông tư số 08/2023/TT-BLĐTBXH)</w:t>
            </w:r>
          </w:p>
        </w:tc>
        <w:tc>
          <w:p/>
          <w:p>
            <w:pPr>
              <w:spacing w:after="0" w:before="0" w:lineRule="auto" w:line="276"/>
              <w:jc w:val="left"/>
            </w:pPr>
            <w:r>
              <w:rPr>
                <w:rFonts w:ascii="Times New Roman" w:hAnsi="Times New Roman" w:cs="Times New Roman" w:eastAsia="Times New Roman"/>
                <w:b w:val="false"/>
                <w:sz w:val="26"/>
              </w:rPr>
              <w:t>mau so 01.docx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Thực hiện theo một trong các hình thức: trực tiếp hoặc trực tuyến hoặc qua bưu chính công ích đến Bộ phận tiếp nhận và trả kết quả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khuyết tật.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01/2019/TT-BLĐTBXH</w:t>
            </w:r>
          </w:p>
        </w:tc>
        <w:tc>
          <w:p/>
          <w:p>
            <w:pPr>
              <w:spacing w:after="0" w:before="0" w:lineRule="auto" w:line="276"/>
              <w:jc w:val="left"/>
            </w:pPr>
            <w:r>
              <w:rPr>
                <w:rFonts w:ascii="Times New Roman" w:hAnsi="Times New Roman" w:cs="Times New Roman" w:eastAsia="Times New Roman"/>
                <w:b w:val="false"/>
                <w:sz w:val="26"/>
              </w:rPr>
              <w:t>Quy định về việc xác định mức độ khuyết tật do Hội đồng xác định mức độ khuyết tật thực hiện</w:t>
            </w:r>
          </w:p>
        </w:tc>
        <w:tc>
          <w:p/>
          <w:p>
            <w:pPr>
              <w:spacing w:after="0" w:before="0" w:lineRule="auto" w:line="276"/>
              <w:jc w:val="left"/>
            </w:pPr>
            <w:r>
              <w:rPr>
                <w:rFonts w:ascii="Times New Roman" w:hAnsi="Times New Roman" w:cs="Times New Roman" w:eastAsia="Times New Roman"/>
                <w:b w:val="false"/>
                <w:sz w:val="26"/>
              </w:rPr>
              <w:t>02-01-2019</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51/2010/QH12</w:t>
            </w:r>
          </w:p>
        </w:tc>
        <w:tc>
          <w:p/>
          <w:p>
            <w:pPr>
              <w:spacing w:after="0" w:before="0" w:lineRule="auto" w:line="276"/>
              <w:jc w:val="left"/>
            </w:pPr>
            <w:r>
              <w:rPr>
                <w:rFonts w:ascii="Times New Roman" w:hAnsi="Times New Roman" w:cs="Times New Roman" w:eastAsia="Times New Roman"/>
                <w:b w:val="false"/>
                <w:sz w:val="26"/>
              </w:rPr>
              <w:t>Luật người khuyết tật</w:t>
            </w:r>
          </w:p>
        </w:tc>
        <w:tc>
          <w:p/>
          <w:p>
            <w:pPr>
              <w:spacing w:after="0" w:before="0" w:lineRule="auto" w:line="276"/>
              <w:jc w:val="left"/>
            </w:pPr>
            <w:r>
              <w:rPr>
                <w:rFonts w:ascii="Times New Roman" w:hAnsi="Times New Roman" w:cs="Times New Roman" w:eastAsia="Times New Roman"/>
                <w:b w:val="false"/>
                <w:sz w:val="26"/>
              </w:rPr>
              <w:t>17-06-2012</w:t>
            </w:r>
          </w:p>
        </w:tc>
        <w:tc>
          <w:p/>
        </w:tc>
      </w:tr>
      <w:tr>
        <w:tc>
          <w:p/>
          <w:p>
            <w:pPr>
              <w:spacing w:after="0" w:before="0" w:lineRule="auto" w:line="276"/>
              <w:jc w:val="left"/>
            </w:pPr>
            <w:r>
              <w:rPr>
                <w:rFonts w:ascii="Times New Roman" w:hAnsi="Times New Roman" w:cs="Times New Roman" w:eastAsia="Times New Roman"/>
                <w:b w:val="false"/>
                <w:sz w:val="26"/>
              </w:rPr>
              <w:t>28/2012/NĐ-CP</w:t>
            </w:r>
          </w:p>
        </w:tc>
        <w:tc>
          <w:p/>
          <w:p>
            <w:pPr>
              <w:spacing w:after="0" w:before="0" w:lineRule="auto" w:line="276"/>
              <w:jc w:val="left"/>
            </w:pPr>
            <w:r>
              <w:rPr>
                <w:rFonts w:ascii="Times New Roman" w:hAnsi="Times New Roman" w:cs="Times New Roman" w:eastAsia="Times New Roman"/>
                <w:b w:val="false"/>
                <w:sz w:val="26"/>
              </w:rPr>
              <w:t>Nghị định 28/2012/NĐ-CP</w:t>
            </w:r>
          </w:p>
        </w:tc>
        <w:tc>
          <w:p/>
          <w:p>
            <w:pPr>
              <w:spacing w:after="0" w:before="0" w:lineRule="auto" w:line="276"/>
              <w:jc w:val="left"/>
            </w:pPr>
            <w:r>
              <w:rPr>
                <w:rFonts w:ascii="Times New Roman" w:hAnsi="Times New Roman" w:cs="Times New Roman" w:eastAsia="Times New Roman"/>
                <w:b w:val="false"/>
                <w:sz w:val="26"/>
              </w:rPr>
              <w:t>10-04-2012</w:t>
            </w:r>
          </w:p>
        </w:tc>
        <w:tc>
          <w:p/>
        </w:tc>
      </w:tr>
      <w:tr>
        <w:tc>
          <w:p/>
          <w:p>
            <w:pPr>
              <w:spacing w:after="0" w:before="0" w:lineRule="auto" w:line="276"/>
              <w:jc w:val="left"/>
            </w:pPr>
            <w:r>
              <w:rPr>
                <w:rFonts w:ascii="Times New Roman" w:hAnsi="Times New Roman" w:cs="Times New Roman" w:eastAsia="Times New Roman"/>
                <w:b w:val="false"/>
                <w:sz w:val="26"/>
              </w:rPr>
              <w:t>08/2023/TT-BLĐTBXH</w:t>
            </w:r>
          </w:p>
        </w:tc>
        <w:tc>
          <w:p/>
          <w:p>
            <w:pPr>
              <w:spacing w:after="0" w:before="0" w:lineRule="auto" w:line="276"/>
              <w:jc w:val="left"/>
            </w:pPr>
            <w:r>
              <w:rPr>
                <w:rFonts w:ascii="Times New Roman" w:hAnsi="Times New Roman" w:cs="Times New Roman" w:eastAsia="Times New Roman"/>
                <w:b w:val="false"/>
                <w:sz w:val="26"/>
              </w:rPr>
              <w:t>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29-08-2023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Cấp đổi Giấy xác nhận khuyết tật trong những trường hợp sau:
- Giấy xác nhận khuyết tật sai thông tin so với Chứng minh nhân dân, căn cước công dân hoặc giấy tờ có giá trị pháp lý khác;
- Giấy xác nhận khuyết tật hư hỏng không sử dụng được.
b) Cấp lại Giấy xác nhận khuyết tật trong trường hợp sau:
- Mất Giấy xác nhận khuyết tật.
Trường hợp cấp lại Giấy xác nhận khuyết tật quy định tại điểm a (Trường hợp thay đổi dạng khuyết tật hoặc mức độ khuyết tật) và điểm c (Người khuyết tật từ đủ 6 tuổi trở lên trừ trường hợp người khuyết tật đặc biệt nặng quy định tại điểm 1.1, 1.2, 1.5, 1.6, 1.7 Mục IV Mẫu số 02 ban hành kèm theo Thông tư số 01/2019/TT-BLĐTBXH được sửa đổi, bổ sung tại Thông tư số 08/2023/TT-BLĐTBXH) khoản 2 Điều 8 Thông tư số 01/2019/TT-BLĐTBXH thì thực hiện theo thủ tục hành chính cấp xã (Mã TTHC 1.001699) về xác định, xác định lại mức độ khuyết tật và cấp Giấy xác nhận khuyết tật.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2024-03-29T09:25:49Z</dcterms:created>
  <dc:creator>Apache POI</dc:creator>
</cp:coreProperties>
</file>