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1.001665</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991/QĐ-BTP</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Sáp nhập Văn phòng công chứng</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Công chứng</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 Các Văn phòng công chứng sáp nhập nộp hồ sơ tại Sở Tư pháp nơi đăng ký hoạt động;
- Sở Tư pháp lấy ý kiến của tổ chức xã hội - nghề nghiệp của công chứng viên (ở những nơi đã thành lập), trình Uỷ ban nhân dân cấp tỉnh;
- Uỷ ban nhân dân cấp tỉnh xem xét, quyết định cho phép sáp nhập Văn phòng công chứng; trường hợp từ chối phải thông báo bằng văn bản có nêu rõ lý do.</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20 Ngày</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 Trong thời hạn 20 ngày, kể từ ngày nhận đủ hồ sơ hợp lệ, Sở Tư pháp lấy ý kiến của Hội công chứng viên (ở những nơi đã thành lập), trình UBND cấp tỉnh;
- Trong thời hạn 15 ngày, kể từ ngày nhận được đề nghị của Sở Tư pháp, UBND cấp tỉnh xem xét, quyết định cho phép sáp nhập Văn phòng công chứng; trường hợp từ chối phải thông báo bằng văn bản và nêu rõ lý do.</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20 Ngày</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 Trong thời hạn 20 ngày, kể từ ngày nhận đủ hồ sơ hợp lệ, Sở Tư pháp lấy ý kiến của Hội công chứng viên (ở những nơi đã thành lập), trình UBND cấp tỉnh;
- Trong thời hạn 15 ngày, kể từ ngày nhận được đề nghị của Sở Tư pháp, UBND cấp tỉnh xem xét, quyết định cho phép sáp nhập Văn phòng công chứng; trường hợp từ chối phải thông báo bằng văn bản và nêu rõ lý do.</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Hợp đồng sáp nhập Văn phòng công chứng, trong đó có các nội dung chủ yếu sau: Tên, địa chỉ trụ sở của các Văn phòng công chứng bị sáp nhập; tên, địa chỉ trụ sở của Văn phòng công chứng nhận sáp nhập; thời gian thực hiện sáp nhập; phương án chuyển tài sản của các Văn phòng công chứng bị sáp nhập sang Văn phòng công chứng nhận sáp nhập; phương án sử dụng lao động của Văn phòng công chứng nhận sáp nhập; việc kế thừa toàn bộ quyền, nghĩa vụ và lợi ích hợp pháp của các Văn phòng công chứng bị sáp nhập và các nội dung khác có liên quan</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Danh sách các công chứng viên hợp danh và công chứng viên làm việc theo chế độ hợp đồng tại các Văn phòng công chứng</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Quyết định cho phép thành lập và giấy đăng ký hoạt động của các Văn phòng công chứng</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Biên bản kiểm kê hồ sơ công chứng và biên bản kiểm kê tài sản hiện có của các Văn phòng công chứng</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Kê khai thuế, báo cáo tài chính trong 03 (ba) năm gần nhất đã được kiểm toán của các Văn phòng công chứng tính đến ngày đề nghị sáp nhập</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Tổ chức (không bao gồm doanh nghiệp, HTX)</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Sở Tư pháp, Ủy ban Nhân dân tỉnh và thành phố trực thuộc trung ương.</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Quyết định cho phép sáp nhập văn phòng công chứng</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29/2015/NĐ-CP</w:t>
            </w:r>
          </w:p>
        </w:tc>
        <w:tc>
          <w:p/>
          <w:p>
            <w:pPr>
              <w:spacing w:after="0" w:before="0" w:lineRule="auto" w:line="276"/>
              <w:jc w:val="left"/>
            </w:pPr>
            <w:r>
              <w:rPr>
                <w:rFonts w:ascii="Times New Roman" w:hAnsi="Times New Roman" w:cs="Times New Roman" w:eastAsia="Times New Roman"/>
                <w:b w:val="false"/>
                <w:sz w:val="26"/>
              </w:rPr>
              <w:t>NGHỊ ĐỊNH  Quy định chi tiết và hướng dẫn thi hành một số điều của Luật Công chứng</w:t>
            </w:r>
          </w:p>
        </w:tc>
        <w:tc>
          <w:p/>
          <w:p>
            <w:pPr>
              <w:spacing w:after="0" w:before="0" w:lineRule="auto" w:line="276"/>
              <w:jc w:val="left"/>
            </w:pPr>
            <w:r>
              <w:rPr>
                <w:rFonts w:ascii="Times New Roman" w:hAnsi="Times New Roman" w:cs="Times New Roman" w:eastAsia="Times New Roman"/>
                <w:b w:val="false"/>
                <w:sz w:val="26"/>
              </w:rPr>
              <w:t>15-03-2015</w:t>
            </w:r>
          </w:p>
        </w:tc>
        <w:tc>
          <w:p/>
        </w:tc>
      </w:tr>
      <w:tr>
        <w:tc>
          <w:p/>
          <w:p>
            <w:pPr>
              <w:spacing w:after="0" w:before="0" w:lineRule="auto" w:line="276"/>
              <w:jc w:val="left"/>
            </w:pPr>
            <w:r>
              <w:rPr>
                <w:rFonts w:ascii="Times New Roman" w:hAnsi="Times New Roman" w:cs="Times New Roman" w:eastAsia="Times New Roman"/>
                <w:b w:val="false"/>
                <w:sz w:val="26"/>
              </w:rPr>
              <w:t>53/2014/QH13</w:t>
            </w:r>
          </w:p>
        </w:tc>
        <w:tc>
          <w:p/>
          <w:p>
            <w:pPr>
              <w:spacing w:after="0" w:before="0" w:lineRule="auto" w:line="276"/>
              <w:jc w:val="left"/>
            </w:pPr>
            <w:r>
              <w:rPr>
                <w:rFonts w:ascii="Times New Roman" w:hAnsi="Times New Roman" w:cs="Times New Roman" w:eastAsia="Times New Roman"/>
                <w:b w:val="false"/>
                <w:sz w:val="26"/>
              </w:rPr>
              <w:t>Luật 53/2014/QH13 - Công chứng</w:t>
            </w:r>
          </w:p>
        </w:tc>
        <w:tc>
          <w:p/>
          <w:p>
            <w:pPr>
              <w:spacing w:after="0" w:before="0" w:lineRule="auto" w:line="276"/>
              <w:jc w:val="left"/>
            </w:pPr>
            <w:r>
              <w:rPr>
                <w:rFonts w:ascii="Times New Roman" w:hAnsi="Times New Roman" w:cs="Times New Roman" w:eastAsia="Times New Roman"/>
                <w:b w:val="false"/>
                <w:sz w:val="26"/>
              </w:rPr>
              <w:t>20-06-2014</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01/2021/TT-BTP</w:t>
            </w:r>
          </w:p>
        </w:tc>
        <w:tc>
          <w:p/>
          <w:p>
            <w:pPr>
              <w:spacing w:after="0" w:before="0" w:lineRule="auto" w:line="276"/>
              <w:jc w:val="left"/>
            </w:pPr>
            <w:r>
              <w:rPr>
                <w:rFonts w:ascii="Times New Roman" w:hAnsi="Times New Roman" w:cs="Times New Roman" w:eastAsia="Times New Roman"/>
                <w:b w:val="false"/>
                <w:sz w:val="26"/>
              </w:rPr>
              <w:t>Thông tư 01/2021/TT-BTP</w:t>
            </w:r>
          </w:p>
        </w:tc>
        <w:tc>
          <w:p/>
          <w:p>
            <w:pPr>
              <w:spacing w:after="0" w:before="0" w:lineRule="auto" w:line="276"/>
              <w:jc w:val="left"/>
            </w:pPr>
            <w:r>
              <w:rPr>
                <w:rFonts w:ascii="Times New Roman" w:hAnsi="Times New Roman" w:cs="Times New Roman" w:eastAsia="Times New Roman"/>
                <w:b w:val="false"/>
                <w:sz w:val="26"/>
              </w:rPr>
              <w:t>03-02-2021</w:t>
            </w:r>
          </w:p>
        </w:tc>
        <w:tc>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Văn phòng công chứng bị sáp nhập phải có trụ sở trong cùng một tỉnh, thành phố trực thuộc trung ương với Văn phòng công chứng nhận sáp nhập</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2024-03-29T12:47:24Z</dcterms:created>
  <dc:creator>Apache POI</dc:creator>
</cp:coreProperties>
</file>