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1.001686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4014/QĐ-BNN-TY</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đủ điều kiện buôn bán thuốc thú y</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Thú y</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Tổ chức, cá nhân buôn bán thuốc thú y nộp hồ sơ đăng ký cấp Giấy chứng nhận đủ điều kiện buôn bán thuốc thú y cho cơ quan quản lý chuyên ngành thú y cấp tỉnh.</w:t>
      </w:r>
    </w:p>
    <w:p>
      <w:pPr>
        <w:spacing w:after="0" w:before="0" w:lineRule="auto" w:line="276"/>
        <w:jc w:val="both"/>
      </w:pPr>
      <w:r>
        <w:rPr>
          <w:rFonts w:ascii="Times New Roman" w:hAnsi="Times New Roman" w:cs="Times New Roman" w:eastAsia="Times New Roman"/>
          <w:b w:val="false"/>
          <w:sz w:val="26"/>
        </w:rPr>
        <w:t>- Bước 2: Trong thời hạn 05 ngày làm việc, kể từ ngày nhận được hồ sơ hợp lệ, cơ quan quản lý chuyên ngành thú y cấp tỉnh kiểm tra điều kiện của cơ sở buôn bán thuốc thú y, nếu đủ điều kiện thì trong thời hạn 03 ngày làm việc, kể từ ngày kết thúc việc kiểm tra phải cấp Giấy chứng nhận đủ điều kiện buôn bán thuốc thú y; trường hợp không cấp phải trả lời bằng văn bản và nêu rõ lý do.</w:t>
      </w:r>
    </w:p>
    <w:p>
      <w:pPr>
        <w:spacing w:after="0" w:before="0" w:lineRule="auto" w:line="276"/>
        <w:jc w:val="both"/>
      </w:pPr>
      <w:r>
        <w:rPr>
          <w:rFonts w:ascii="Times New Roman" w:hAnsi="Times New Roman" w:cs="Times New Roman" w:eastAsia="Times New Roman"/>
          <w:b w:val="false"/>
          <w:sz w:val="26"/>
        </w:rPr>
        <w:t>Thực hiện kiểm tra, đánh giá trực tuyến trong trường hợp do thiên tai hoặc phải áp dụng quy định về phòng, chống dịch bệnh nguy hiểm mà không thể thực hiện kiểm tra, đánh giá trực tiếp tại hiện trường để cấp giấy chứng nhận đủ điều kiện buôn bán, nhập khẩu thuốc thú y. Việc đánh giá trực tiếp tại hiện trường sẽ được thực hiện sau khi các địa phương kiểm soát được thiên tai, dịch bệnh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8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(Kiểm tra điều kiện cơ sở buôn bán thuốc thú y, thuốc thú y thủy sản: 230.000đ/lần)</w:t>
            </w:r>
          </w:p>
        </w:tc>
        <w:tc>
          <w:p/>
          <w:p>
            <w:pPr>
              <w:spacing w:after="0" w:before="0" w:lineRule="auto" w:line="276"/>
              <w:jc w:val="left"/>
            </w:pPr>
            <w:r>
              <w:rPr>
                <w:rFonts w:ascii="Times New Roman" w:hAnsi="Times New Roman" w:cs="Times New Roman" w:eastAsia="Times New Roman"/>
                <w:b w:val="false"/>
                <w:sz w:val="26"/>
              </w:rPr>
              <w:t>08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8 Ngày làm việc</w:t>
            </w:r>
          </w:p>
        </w:tc>
        <w:tc>
          <w:p/>
          <w:p>
            <w:pPr>
              <w:spacing w:after="0" w:before="0" w:lineRule="auto" w:line="276"/>
              <w:jc w:val="left"/>
            </w:pPr>
            <w:r>
              <w:rPr>
                <w:rFonts w:ascii="Times New Roman" w:hAnsi="Times New Roman" w:cs="Times New Roman" w:eastAsia="Times New Roman"/>
                <w:b w:val="false"/>
                <w:sz w:val="26"/>
              </w:rPr>
              <w:t>Phí : 230.000 Đồng</w:t>
              <w:t xml:space="preserve"> (Kiểm tra điều kiện cơ sở buôn bán thuốc thú y, thuốc thú y thủy sản: 230.000đ/lần)</w:t>
            </w:r>
          </w:p>
        </w:tc>
        <w:tc>
          <w:p/>
          <w:p>
            <w:pPr>
              <w:spacing w:after="0" w:before="0" w:lineRule="auto" w:line="276"/>
              <w:jc w:val="left"/>
            </w:pPr>
            <w:r>
              <w:rPr>
                <w:rFonts w:ascii="Times New Roman" w:hAnsi="Times New Roman" w:cs="Times New Roman" w:eastAsia="Times New Roman"/>
                <w:b w:val="false"/>
                <w:sz w:val="26"/>
              </w:rPr>
              <w:t>08 ngày làm việc,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thuyết minh chi tiết về cơ sở vật chất, kỹ thuật buôn bán, nhập khẩu thuốc thú y theo mẫu quy định tại Phụ lục XXII ban hành kèm theo Thông tư 13/2016/TT-BNNPTNT</w:t>
            </w:r>
          </w:p>
        </w:tc>
        <w:tc>
          <w:p/>
          <w:p>
            <w:pPr>
              <w:spacing w:after="0" w:before="0" w:lineRule="auto" w:line="276"/>
              <w:jc w:val="left"/>
            </w:pPr>
            <w:r>
              <w:rPr>
                <w:rFonts w:ascii="Times New Roman" w:hAnsi="Times New Roman" w:cs="Times New Roman" w:eastAsia="Times New Roman"/>
                <w:b w:val="false"/>
                <w:sz w:val="26"/>
              </w:rPr>
              <w:t>XXII TT13.docx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doanh nghiệp hoặc Giấy chứng nhận đăng ký kinh doanh (bản chính hoặc bản sao có đóng dấu xác nhận của doanh nghiệp đăng ký);</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Chứng chỉ hành nghề thú y đối với người quản lý, người trực tiếp buôn bán thuốc thú y (bản chính hoặc bản sao có đóng dấu xác nhận của doanh nghiệp đăng ký).</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Đơn đăng ký cấp, gia hạn giấy chứng nhận đủ điều kiện buôn bán, nhập khẩu thuốc thú y theo mẫu quy định tại Phụ lục XX ban hành kèm theo Thông tư 13/2016/TT-BNNPTNT</w:t>
            </w:r>
          </w:p>
        </w:tc>
        <w:tc>
          <w:p/>
          <w:p>
            <w:pPr>
              <w:spacing w:after="0" w:before="0" w:lineRule="auto" w:line="276"/>
              <w:jc w:val="left"/>
            </w:pPr>
            <w:r>
              <w:rPr>
                <w:rFonts w:ascii="Times New Roman" w:hAnsi="Times New Roman" w:cs="Times New Roman" w:eastAsia="Times New Roman"/>
                <w:b w:val="false"/>
                <w:sz w:val="26"/>
              </w:rPr>
              <w:t>Phụ lục XX Thông tư số 13.2016.TT-BNNPTNT.docx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quản lý chuyên ngành thú y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đủ điều kiện buôn bán thuốc thú y</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Luật 79/2015/QH13</w:t>
            </w:r>
          </w:p>
        </w:tc>
        <w:tc>
          <w:p/>
          <w:p>
            <w:pPr>
              <w:spacing w:after="0" w:before="0" w:lineRule="auto" w:line="276"/>
              <w:jc w:val="left"/>
            </w:pPr>
            <w:r>
              <w:rPr>
                <w:rFonts w:ascii="Times New Roman" w:hAnsi="Times New Roman" w:cs="Times New Roman" w:eastAsia="Times New Roman"/>
                <w:b w:val="false"/>
                <w:sz w:val="26"/>
              </w:rPr>
              <w:t>Luật Thú y</w:t>
            </w:r>
          </w:p>
        </w:tc>
        <w:tc>
          <w:p/>
          <w:p>
            <w:pPr>
              <w:spacing w:after="0" w:before="0" w:lineRule="auto" w:line="276"/>
              <w:jc w:val="left"/>
            </w:pPr>
            <w:r>
              <w:rPr>
                <w:rFonts w:ascii="Times New Roman" w:hAnsi="Times New Roman" w:cs="Times New Roman" w:eastAsia="Times New Roman"/>
                <w:b w:val="false"/>
                <w:sz w:val="26"/>
              </w:rPr>
              <w:t>19-06-2015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13/2016/TT-BNNPTNT	</w:t>
            </w:r>
          </w:p>
        </w:tc>
        <w:tc>
          <w:p/>
          <w:p>
            <w:pPr>
              <w:spacing w:after="0" w:before="0" w:lineRule="auto" w:line="276"/>
              <w:jc w:val="left"/>
            </w:pPr>
            <w:r>
              <w:rPr>
                <w:rFonts w:ascii="Times New Roman" w:hAnsi="Times New Roman" w:cs="Times New Roman" w:eastAsia="Times New Roman"/>
                <w:b w:val="false"/>
                <w:sz w:val="26"/>
              </w:rPr>
              <w:t>Quy định về quản lý thuốc thú y	</w:t>
            </w:r>
          </w:p>
        </w:tc>
        <w:tc>
          <w:p/>
          <w:p>
            <w:pPr>
              <w:spacing w:after="0" w:before="0" w:lineRule="auto" w:line="276"/>
              <w:jc w:val="left"/>
            </w:pPr>
            <w:r>
              <w:rPr>
                <w:rFonts w:ascii="Times New Roman" w:hAnsi="Times New Roman" w:cs="Times New Roman" w:eastAsia="Times New Roman"/>
                <w:b w:val="false"/>
                <w:sz w:val="26"/>
              </w:rPr>
              <w:t>02-06-2016</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35/2016/NĐ-CP	</w:t>
            </w:r>
          </w:p>
        </w:tc>
        <w:tc>
          <w:p/>
          <w:p>
            <w:pPr>
              <w:spacing w:after="0" w:before="0" w:lineRule="auto" w:line="276"/>
              <w:jc w:val="left"/>
            </w:pPr>
            <w:r>
              <w:rPr>
                <w:rFonts w:ascii="Times New Roman" w:hAnsi="Times New Roman" w:cs="Times New Roman" w:eastAsia="Times New Roman"/>
                <w:b w:val="false"/>
                <w:sz w:val="26"/>
              </w:rPr>
              <w:t>Quy định chi tiết một số điều của Luật thú y	</w:t>
            </w:r>
          </w:p>
        </w:tc>
        <w:tc>
          <w:p/>
          <w:p>
            <w:pPr>
              <w:spacing w:after="0" w:before="0" w:lineRule="auto" w:line="276"/>
              <w:jc w:val="left"/>
            </w:pPr>
            <w:r>
              <w:rPr>
                <w:rFonts w:ascii="Times New Roman" w:hAnsi="Times New Roman" w:cs="Times New Roman" w:eastAsia="Times New Roman"/>
                <w:b w:val="false"/>
                <w:sz w:val="26"/>
              </w:rPr>
              <w:t>15-05-2016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123/2018/NĐ-CP	</w:t>
            </w:r>
          </w:p>
        </w:tc>
        <w:tc>
          <w:p/>
          <w:p>
            <w:pPr>
              <w:spacing w:after="0" w:before="0" w:lineRule="auto" w:line="276"/>
              <w:jc w:val="left"/>
            </w:pPr>
            <w:r>
              <w:rPr>
                <w:rFonts w:ascii="Times New Roman" w:hAnsi="Times New Roman" w:cs="Times New Roman" w:eastAsia="Times New Roman"/>
                <w:b w:val="false"/>
                <w:sz w:val="26"/>
              </w:rPr>
              <w:t>SỬA ĐỔI, BỔ SUNG MỘT SỐ NGHỊ ĐỊNH QUY ĐỊNH VỀ ĐIỀU KIỆN ĐẦU TƯ, KINH DOANH TRONG LĨNH VỰC NÔNG NGHIỆP	</w:t>
            </w:r>
          </w:p>
        </w:tc>
        <w:tc>
          <w:p/>
          <w:p>
            <w:pPr>
              <w:spacing w:after="0" w:before="0" w:lineRule="auto" w:line="276"/>
              <w:jc w:val="left"/>
            </w:pPr>
            <w:r>
              <w:rPr>
                <w:rFonts w:ascii="Times New Roman" w:hAnsi="Times New Roman" w:cs="Times New Roman" w:eastAsia="Times New Roman"/>
                <w:b w:val="false"/>
                <w:sz w:val="26"/>
              </w:rPr>
              <w:t>17-09-2018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101/2020/TT-BTC</w:t>
            </w:r>
          </w:p>
        </w:tc>
        <w:tc>
          <w:p/>
          <w:p>
            <w:pPr>
              <w:spacing w:after="0" w:before="0" w:lineRule="auto" w:line="276"/>
              <w:jc w:val="left"/>
            </w:pPr>
            <w:r>
              <w:rPr>
                <w:rFonts w:ascii="Times New Roman" w:hAnsi="Times New Roman" w:cs="Times New Roman" w:eastAsia="Times New Roman"/>
                <w:b w:val="false"/>
                <w:sz w:val="26"/>
              </w:rPr>
              <w:t>Thông tư 101/2020/TT-BTC</w:t>
            </w:r>
          </w:p>
        </w:tc>
        <w:tc>
          <w:p/>
          <w:p>
            <w:pPr>
              <w:spacing w:after="0" w:before="0" w:lineRule="auto" w:line="276"/>
              <w:jc w:val="left"/>
            </w:pPr>
            <w:r>
              <w:rPr>
                <w:rFonts w:ascii="Times New Roman" w:hAnsi="Times New Roman" w:cs="Times New Roman" w:eastAsia="Times New Roman"/>
                <w:b w:val="false"/>
                <w:sz w:val="26"/>
              </w:rPr>
              <w:t>23-11-2020</w:t>
            </w:r>
          </w:p>
        </w:tc>
        <w:tc>
          <w:p/>
        </w:tc>
      </w:tr>
      <w:tr>
        <w:tc>
          <w:p/>
          <w:p>
            <w:pPr>
              <w:spacing w:after="0" w:before="0" w:lineRule="auto" w:line="276"/>
              <w:jc w:val="left"/>
            </w:pPr>
            <w:r>
              <w:rPr>
                <w:rFonts w:ascii="Times New Roman" w:hAnsi="Times New Roman" w:cs="Times New Roman" w:eastAsia="Times New Roman"/>
                <w:b w:val="false"/>
                <w:sz w:val="26"/>
              </w:rPr>
              <w:t>13/2022/TT-BNNPTNT</w:t>
            </w:r>
          </w:p>
        </w:tc>
        <w:tc>
          <w:p/>
          <w:p>
            <w:pPr>
              <w:spacing w:after="0" w:before="0" w:lineRule="auto" w:line="276"/>
              <w:jc w:val="left"/>
            </w:pPr>
            <w:r>
              <w:rPr>
                <w:rFonts w:ascii="Times New Roman" w:hAnsi="Times New Roman" w:cs="Times New Roman" w:eastAsia="Times New Roman"/>
                <w:b w:val="false"/>
                <w:sz w:val="26"/>
              </w:rPr>
              <w:t>Thông tư 13/2022/TT-BNNPTNT</w:t>
            </w:r>
          </w:p>
        </w:tc>
        <w:tc>
          <w:p/>
          <w:p>
            <w:pPr>
              <w:spacing w:after="0" w:before="0" w:lineRule="auto" w:line="276"/>
              <w:jc w:val="left"/>
            </w:pPr>
            <w:r>
              <w:rPr>
                <w:rFonts w:ascii="Times New Roman" w:hAnsi="Times New Roman" w:cs="Times New Roman" w:eastAsia="Times New Roman"/>
                <w:b w:val="false"/>
                <w:sz w:val="26"/>
              </w:rPr>
              <w:t>28-09-2022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Giấy chứng nhận đăng ký kinh doanh hoặc Giấy chứng nhận đăng ký doanh nghiệp;
- Có địa điểm, cơ sở vật chất, kỹ thuật phù hợp;
- Người quản lý, người trực tiếp bán thuốc thú y phải có Chứng chỉ hành nghề thú y;
-  Có đủ quầy, tủ, giá kệ để chứa, đựng và trưng bày sản phẩm phải đảm bảo chắc chắn, dễ vệ sinh và tránh được những tác động bất lợi của ánh sáng, nhiệt độ, độ ẩm, nấm mốc, động vật gặm nhấm và côn trùng gây hại;
- Có trang thiết bị để bảo đảm điều kiện bảo quản ghi trên nhãn của sản phẩm; có nhiệt kế, ẩm kế theo dõi điều kiện bảo quản sản phẩm. Đối với cơ sở buôn bán vắc xin, chế phẩm sinh học phải có tủ lạnh, tủ mát hoặc kho lạnh; có nhiệt kế để kiểm tra điều kiện bảo quản; có máy phát điện dự phòng, vật dụng, phương tiện vận chuyển phân phối vắc xin bảo đảm điều kiện bảo quản ghi trên nhãn sản phẩm.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2024-03-29T10:12:34Z</dcterms:created>
  <dc:creator>Apache POI</dc:creator>
</cp:coreProperties>
</file>