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1.001687</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295/QĐ-BYT</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khám sức khỏe cho người lái xe</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Cơ quan khác</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Khám bệnh, chữa bệnh</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Đối tượng khám sức khỏe đến cơ sở Khám chữa bệnh đủ điều kiện khám sức khoẻ theo quy định, nộp Giấy khám sức khỏe theo mẫu quy định tại Phụ lục 2 ban hành kèm theo Thông tư liên tịch số 24/2015/TTLT-BYT-BGTVT ngày 21/8/2015;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w:t>
      </w:r>
    </w:p>
    <w:p>
      <w:pPr>
        <w:spacing w:after="0" w:before="0" w:lineRule="auto" w:line="276"/>
        <w:jc w:val="both"/>
      </w:pPr>
      <w:r>
        <w:rPr>
          <w:rFonts w:ascii="Times New Roman" w:hAnsi="Times New Roman" w:cs="Times New Roman" w:eastAsia="Times New Roman"/>
          <w:b w:val="false"/>
          <w:sz w:val="26"/>
        </w:rPr>
        <w:t>Bước 2: Cơ sở khám bệnh, chữa bệnh đối chiếu ảnh trong giấy khám sức khỏe với người đến khám sức khỏe; Đóng dấu giáp lai vào ảnh sau khi đã thực hiện việc đối chiếu ảnh và hướng dẫn quy trình khám sức khỏe cho đối tượng khám sức khỏe theo các nội dung ghi trong Phụ lục 2.</w:t>
      </w:r>
    </w:p>
    <w:p>
      <w:pPr>
        <w:spacing w:after="0" w:before="0" w:lineRule="auto" w:line="276"/>
        <w:jc w:val="both"/>
      </w:pPr>
      <w:r>
        <w:rPr>
          <w:rFonts w:ascii="Times New Roman" w:hAnsi="Times New Roman" w:cs="Times New Roman" w:eastAsia="Times New Roman"/>
          <w:b w:val="false"/>
          <w:sz w:val="26"/>
        </w:rPr>
        <w:t>Bước 3: Kết luận và trả giấy khám sức khoẻ.</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24 Giờ</w:t>
            </w:r>
          </w:p>
        </w:tc>
        <w:tc>
          <w:p/>
          <w:p>
            <w:pPr>
              <w:spacing w:after="0" w:before="0" w:lineRule="auto" w:line="276"/>
              <w:jc w:val="left"/>
            </w:pPr>
            <w:r>
              <w:rPr>
                <w:rFonts w:ascii="Times New Roman" w:hAnsi="Times New Roman" w:cs="Times New Roman" w:eastAsia="Times New Roman"/>
                <w:b w:val="false"/>
                <w:sz w:val="26"/>
              </w:rPr>
              <w:t xml:space="preserve">Phí :  </w:t>
              <w:t xml:space="preserve"> (Nộp phí theo mức phí thu viện phí hiện hành)</w:t>
            </w:r>
          </w:p>
          <w:p>
            <w:pPr>
              <w:spacing w:after="0" w:before="0" w:lineRule="auto" w:line="276"/>
              <w:jc w:val="left"/>
            </w:pPr>
            <w:r>
              <w:rPr>
                <w:rFonts w:ascii="Times New Roman" w:hAnsi="Times New Roman" w:cs="Times New Roman" w:eastAsia="Times New Roman"/>
                <w:b w:val="false"/>
                <w:sz w:val="26"/>
              </w:rPr>
              <w:t xml:space="preserve">Lệ phí :  </w:t>
              <w:t xml:space="preserve"> (Nộp phí theo mức phí thu viện phí hiện hành)</w:t>
            </w:r>
          </w:p>
        </w:tc>
        <w:tc>
          <w:p/>
          <w:p>
            <w:pPr>
              <w:spacing w:after="0" w:before="0" w:lineRule="auto" w:line="276"/>
              <w:jc w:val="left"/>
            </w:pPr>
            <w:r>
              <w:rPr>
                <w:rFonts w:ascii="Times New Roman" w:hAnsi="Times New Roman" w:cs="Times New Roman" w:eastAsia="Times New Roman"/>
                <w:b w:val="false"/>
                <w:sz w:val="26"/>
              </w:rPr>
              <w:t xml:space="preserve"> Đối với trường hợp khám sức khỏe đơn lẻ: cơ sở khám sức khỏe trả Giấy khám sức khỏe, sổ khám sức khỏe định kỳ cho người được khám sức khỏe trong vòng 24 (hai mươi tư) giờ kể từ khi kết thúc việc khám sức khỏe, trừ những trường hợp phải khám hoặc xét nghiệm bổ sung theo yêu cầu của người thực hiện khám sức khỏe;</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Theo thỏa thuận trong hợp đồng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Đối với trường hợp khám sức khỏe tập thể theo hợp đồng: cơ sở khám sức khỏe trả Giấy khám sức khỏe, sổ khám sức khỏe định kỳ cho người được khám sức khỏe theo thỏa thuận đã ghi trong hợp đồng.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24 Giờ</w:t>
            </w:r>
          </w:p>
        </w:tc>
        <w:tc>
          <w:p/>
          <w:p>
            <w:pPr>
              <w:spacing w:after="0" w:before="0" w:lineRule="auto" w:line="276"/>
              <w:jc w:val="left"/>
            </w:pPr>
            <w:r>
              <w:rPr>
                <w:rFonts w:ascii="Times New Roman" w:hAnsi="Times New Roman" w:cs="Times New Roman" w:eastAsia="Times New Roman"/>
                <w:b w:val="false"/>
                <w:sz w:val="26"/>
              </w:rPr>
              <w:t xml:space="preserve">Phí :  </w:t>
              <w:t xml:space="preserve"> (Nộp phí theo mức phí thu viện phí hiện hành)</w:t>
            </w:r>
          </w:p>
          <w:p>
            <w:pPr>
              <w:spacing w:after="0" w:before="0" w:lineRule="auto" w:line="276"/>
              <w:jc w:val="left"/>
            </w:pPr>
            <w:r>
              <w:rPr>
                <w:rFonts w:ascii="Times New Roman" w:hAnsi="Times New Roman" w:cs="Times New Roman" w:eastAsia="Times New Roman"/>
                <w:b w:val="false"/>
                <w:sz w:val="26"/>
              </w:rPr>
              <w:t xml:space="preserve">Lệ phí :  </w:t>
              <w:t xml:space="preserve"> (Nộp phí theo mức phí thu viện phí hiện hành)</w:t>
            </w:r>
          </w:p>
        </w:tc>
        <w:tc>
          <w:p/>
          <w:p>
            <w:pPr>
              <w:spacing w:after="0" w:before="0" w:lineRule="auto" w:line="276"/>
              <w:jc w:val="left"/>
            </w:pPr>
            <w:r>
              <w:rPr>
                <w:rFonts w:ascii="Times New Roman" w:hAnsi="Times New Roman" w:cs="Times New Roman" w:eastAsia="Times New Roman"/>
                <w:b w:val="false"/>
                <w:sz w:val="26"/>
              </w:rPr>
              <w:t>Đối với trường hợp khám sức khỏe đơn lẻ: cơ sở khám sức khỏe trả Giấy khám sức khỏe, sổ khám sức khỏe định kỳ cho người được khám sức khỏe trong vòng 24 (hai mươi tư) giờ kể từ khi kết thúc việc khám sức khỏe, trừ những trường hợp phải khám hoặc xét nghiệm bổ sung theo yêu cầu của người thực hiện khám sức khỏe;</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Theo thỏa thuận trong hợp đồng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 xml:space="preserve">Đối với trường hợp khám sức khỏe tập thể theo hợp đồng: cơ sở khám sức khỏe trả Giấy khám sức khỏe, sổ khám sức khỏe định kỳ cho người được khám sức khỏe theo thỏa thuận đã ghi trong hợp đồng.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Giấy khám sức khỏe theo mẫu quy định tại Phụ lục 2 ban hành kèm theo Thông tư liên tịch số 24/2015/TTLT-BYT-BGTVT ngày 21/8/2015, có dán ảnh chân dung cỡ 4 x 6cm, chụp trên nền trắng trong thời gian không quá 6 tháng</w:t>
            </w:r>
          </w:p>
        </w:tc>
        <w:tc>
          <w:p/>
          <w:p>
            <w:pPr>
              <w:spacing w:after="0" w:before="0" w:lineRule="auto" w:line="276"/>
              <w:jc w:val="left"/>
            </w:pPr>
            <w:r>
              <w:rPr>
                <w:rFonts w:ascii="Times New Roman" w:hAnsi="Times New Roman" w:cs="Times New Roman" w:eastAsia="Times New Roman"/>
                <w:b w:val="false"/>
                <w:sz w:val="26"/>
              </w:rPr>
              <w:t>Phu luc 2_TTLT24_2015.docx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Các cơ sở khám chữa bệnh Trung ương và địa phương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Các cơ sở khám chữa bệnh Trung ương và địa phương</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khám sức khỏe</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63/2012/NĐ-CP</w:t>
            </w:r>
          </w:p>
        </w:tc>
        <w:tc>
          <w:p/>
          <w:p>
            <w:pPr>
              <w:spacing w:after="0" w:before="0" w:lineRule="auto" w:line="276"/>
              <w:jc w:val="left"/>
            </w:pPr>
            <w:r>
              <w:rPr>
                <w:rFonts w:ascii="Times New Roman" w:hAnsi="Times New Roman" w:cs="Times New Roman" w:eastAsia="Times New Roman"/>
                <w:b w:val="false"/>
                <w:sz w:val="26"/>
              </w:rPr>
              <w:t>Nghị định 63/2012/NĐ-CP - Quy định chức năng, nhiệm vụ, quyền hạn và cơ cấu tổ chức của Bộ Y tế</w:t>
            </w:r>
          </w:p>
        </w:tc>
        <w:tc>
          <w:p/>
          <w:p>
            <w:pPr>
              <w:spacing w:after="0" w:before="0" w:lineRule="auto" w:line="276"/>
              <w:jc w:val="left"/>
            </w:pPr>
            <w:r>
              <w:rPr>
                <w:rFonts w:ascii="Times New Roman" w:hAnsi="Times New Roman" w:cs="Times New Roman" w:eastAsia="Times New Roman"/>
                <w:b w:val="false"/>
                <w:sz w:val="26"/>
              </w:rPr>
              <w:t>31-08-2012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23/2008/QH12</w:t>
            </w:r>
          </w:p>
        </w:tc>
        <w:tc>
          <w:p/>
          <w:p>
            <w:pPr>
              <w:spacing w:after="0" w:before="0" w:lineRule="auto" w:line="276"/>
              <w:jc w:val="left"/>
            </w:pPr>
            <w:r>
              <w:rPr>
                <w:rFonts w:ascii="Times New Roman" w:hAnsi="Times New Roman" w:cs="Times New Roman" w:eastAsia="Times New Roman"/>
                <w:b w:val="false"/>
                <w:sz w:val="26"/>
              </w:rPr>
              <w:t>Luật 23/2008/QH12 - Giao thông đường bộ</w:t>
            </w:r>
          </w:p>
        </w:tc>
        <w:tc>
          <w:p/>
          <w:p>
            <w:pPr>
              <w:spacing w:after="0" w:before="0" w:lineRule="auto" w:line="276"/>
              <w:jc w:val="left"/>
            </w:pPr>
            <w:r>
              <w:rPr>
                <w:rFonts w:ascii="Times New Roman" w:hAnsi="Times New Roman" w:cs="Times New Roman" w:eastAsia="Times New Roman"/>
                <w:b w:val="false"/>
                <w:sz w:val="26"/>
              </w:rPr>
              <w:t>13-11-2008</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14/2013/TT-BYT</w:t>
            </w:r>
          </w:p>
        </w:tc>
        <w:tc>
          <w:p/>
          <w:p>
            <w:pPr>
              <w:spacing w:after="0" w:before="0" w:lineRule="auto" w:line="276"/>
              <w:jc w:val="left"/>
            </w:pPr>
            <w:r>
              <w:rPr>
                <w:rFonts w:ascii="Times New Roman" w:hAnsi="Times New Roman" w:cs="Times New Roman" w:eastAsia="Times New Roman"/>
                <w:b w:val="false"/>
                <w:sz w:val="26"/>
              </w:rPr>
              <w:t>Thông tư 14/2013/TT-BYT Hướng dẫn khám sức khỏe</w:t>
            </w:r>
          </w:p>
        </w:tc>
        <w:tc>
          <w:p/>
          <w:p>
            <w:pPr>
              <w:spacing w:after="0" w:before="0" w:lineRule="auto" w:line="276"/>
              <w:jc w:val="left"/>
            </w:pPr>
            <w:r>
              <w:rPr>
                <w:rFonts w:ascii="Times New Roman" w:hAnsi="Times New Roman" w:cs="Times New Roman" w:eastAsia="Times New Roman"/>
                <w:b w:val="false"/>
                <w:sz w:val="26"/>
              </w:rPr>
              <w:t>06-05-2013</w:t>
            </w:r>
          </w:p>
        </w:tc>
        <w:tc>
          <w:p/>
          <w:p>
            <w:pPr>
              <w:spacing w:after="0" w:before="0" w:lineRule="auto" w:line="276"/>
              <w:jc w:val="left"/>
            </w:pPr>
            <w:r>
              <w:rPr>
                <w:rFonts w:ascii="Times New Roman" w:hAnsi="Times New Roman" w:cs="Times New Roman" w:eastAsia="Times New Roman"/>
                <w:b w:val="false"/>
                <w:sz w:val="26"/>
              </w:rPr>
              <w:t>Bộ Y tế</w:t>
            </w:r>
          </w:p>
        </w:tc>
      </w:tr>
      <w:tr>
        <w:tc>
          <w:p/>
          <w:p>
            <w:pPr>
              <w:spacing w:after="0" w:before="0" w:lineRule="auto" w:line="276"/>
              <w:jc w:val="left"/>
            </w:pPr>
            <w:r>
              <w:rPr>
                <w:rFonts w:ascii="Times New Roman" w:hAnsi="Times New Roman" w:cs="Times New Roman" w:eastAsia="Times New Roman"/>
                <w:b w:val="false"/>
                <w:sz w:val="26"/>
              </w:rPr>
              <w:t>107/2012/NĐ-CP</w:t>
            </w:r>
          </w:p>
        </w:tc>
        <w:tc>
          <w:p/>
          <w:p>
            <w:pPr>
              <w:spacing w:after="0" w:before="0" w:lineRule="auto" w:line="276"/>
              <w:jc w:val="left"/>
            </w:pPr>
            <w:r>
              <w:rPr>
                <w:rFonts w:ascii="Times New Roman" w:hAnsi="Times New Roman" w:cs="Times New Roman" w:eastAsia="Times New Roman"/>
                <w:b w:val="false"/>
                <w:sz w:val="26"/>
              </w:rPr>
              <w:t>Nghị định 107/2012/NĐ-CP - Quy định chức năng, nhiệm vụ, quyền hạn và cơ cấu tổ chức của Bộ Giao thông vận tải</w:t>
            </w:r>
          </w:p>
        </w:tc>
        <w:tc>
          <w:p/>
          <w:p>
            <w:pPr>
              <w:spacing w:after="0" w:before="0" w:lineRule="auto" w:line="276"/>
              <w:jc w:val="left"/>
            </w:pPr>
            <w:r>
              <w:rPr>
                <w:rFonts w:ascii="Times New Roman" w:hAnsi="Times New Roman" w:cs="Times New Roman" w:eastAsia="Times New Roman"/>
                <w:b w:val="false"/>
                <w:sz w:val="26"/>
              </w:rPr>
              <w:t>20-12-2012</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24/2015/TTLT-BYT-BGTVT</w:t>
            </w:r>
          </w:p>
        </w:tc>
        <w:tc>
          <w:p/>
          <w:p>
            <w:pPr>
              <w:spacing w:after="0" w:before="0" w:lineRule="auto" w:line="276"/>
              <w:jc w:val="left"/>
            </w:pPr>
            <w:r>
              <w:rPr>
                <w:rFonts w:ascii="Times New Roman" w:hAnsi="Times New Roman" w:cs="Times New Roman" w:eastAsia="Times New Roman"/>
                <w:b w:val="false"/>
                <w:sz w:val="26"/>
              </w:rPr>
              <w:t>Thông tư liên tịch 24/2015/TTLT-BYT-BGTVT - Quy định về tiêu chuẩn sức khỏe của người lái xe, việc khám sức khỏe định kỳ đối với người lái xe ô tô và quy định về cơ sở y tế khám sức khoẻ cho người lái xe</w:t>
            </w:r>
          </w:p>
        </w:tc>
        <w:tc>
          <w:p/>
          <w:p>
            <w:pPr>
              <w:spacing w:after="0" w:before="0" w:lineRule="auto" w:line="276"/>
              <w:jc w:val="left"/>
            </w:pPr>
            <w:r>
              <w:rPr>
                <w:rFonts w:ascii="Times New Roman" w:hAnsi="Times New Roman" w:cs="Times New Roman" w:eastAsia="Times New Roman"/>
                <w:b w:val="false"/>
                <w:sz w:val="26"/>
              </w:rPr>
              <w:t>21-08-2015</w:t>
            </w:r>
          </w:p>
        </w:tc>
        <w:tc>
          <w:p/>
          <w:p>
            <w:pPr>
              <w:spacing w:after="0" w:before="0" w:lineRule="auto" w:line="276"/>
              <w:jc w:val="left"/>
            </w:pPr>
            <w:r>
              <w:rPr>
                <w:rFonts w:ascii="Times New Roman" w:hAnsi="Times New Roman" w:cs="Times New Roman" w:eastAsia="Times New Roman"/>
                <w:b w:val="false"/>
                <w:sz w:val="26"/>
              </w:rPr>
              <w:t>Bộ Y tế</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2024-03-29T13:02:09Z</dcterms:created>
  <dc:creator>Apache POI</dc:creator>
</cp:coreProperties>
</file>