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1.001696.000.00.00.H32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145/QĐ-UBND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Chuyển tiếp đăng ký thế chấp quyền tài sản phát sinh từ hợp đồng mua bán nhà ở</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Đăng ký biện pháp bảo đảm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a) Nộp hồ sơ đến một trong các cơ quan, đơn vị sau đây:</w:t>
      </w:r>
    </w:p>
    <w:p>
      <w:pPr>
        <w:spacing w:after="0" w:before="0" w:lineRule="auto" w:line="276"/>
        <w:jc w:val="both"/>
      </w:pPr>
      <w:r>
        <w:rPr>
          <w:rFonts w:ascii="Times New Roman" w:hAnsi="Times New Roman" w:cs="Times New Roman" w:eastAsia="Times New Roman"/>
          <w:b w:val="false"/>
          <w:sz w:val="26"/>
        </w:rPr>
        <w:t>- Văn phòng đăng ký đất đai Khánh Hòa hoặc Chi nhánh Văn phòng đăng ký đất đai.</w:t>
      </w:r>
    </w:p>
    <w:p>
      <w:pPr>
        <w:spacing w:after="0" w:before="0" w:lineRule="auto" w:line="276"/>
        <w:jc w:val="both"/>
      </w:pPr>
      <w:r>
        <w:rPr>
          <w:rFonts w:ascii="Times New Roman" w:hAnsi="Times New Roman" w:cs="Times New Roman" w:eastAsia="Times New Roman"/>
          <w:b w:val="false"/>
          <w:sz w:val="26"/>
        </w:rPr>
        <w:t>- Ủy ban nhân dân cấp xã nơi có đất trong trường hợp người yêu cầu đăng ký là hộ gia đình, cá nhân có nhu cầu nộp hồ sơ trực tiếp tại Ủy ban nhân dân cấp xã.</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 Người tiếp nhận kiểm tra hồ sơ đăng ký, trường hợp hồ sơ không hợp lệ thì người tiếp nhận đai từ chối đăng ký và hướng dẫn hoàn thiện hồ sơ. Trường hợp hồ sơ hợp lệ thì Văn phòng đăng ký đất đai ghi chuyển tiếp và thời điểm đăng ký thế chấp vào Sổ đăng ký thế chấp tài sản gắn liền với đất hình thành trong tương lai hoặc vào Sổ địa chính, Giấy chứng nhận đã cấp; ghi chuyển tiếp và thời điểm đăng ký thế chấp vào phiếu yêu cầu chuyển tiếp đăng ký thế chấp.</w:t>
      </w:r>
    </w:p>
    <w:p>
      <w:pPr>
        <w:spacing w:after="0" w:before="0" w:lineRule="auto" w:line="276"/>
        <w:jc w:val="both"/>
      </w:pPr>
      <w:r>
        <w:rPr>
          <w:rFonts w:ascii="Times New Roman" w:hAnsi="Times New Roman" w:cs="Times New Roman" w:eastAsia="Times New Roman"/>
          <w:b w:val="false"/>
          <w:sz w:val="26"/>
        </w:rPr>
        <w:t>c) Trả kết quả đăng ký tại Văn phòng đăng ký đất đai hoặc Bộ phận tiếp nhận và trả kết quả theo cơ chế một cửa hoặc Ủy ban nhân dân cấp xã trong trường hợp nộp hồ sơ tại Bộ phận tiếp nhận và trả kết quả theo cơ chế một cửa hoặc Ủy ban nhân dân cấp xã.</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 </w:t>
            </w:r>
          </w:p>
        </w:tc>
        <w:tc>
          <w:p/>
          <w:p>
            <w:pPr>
              <w:spacing w:after="0" w:before="0" w:lineRule="auto" w:line="276"/>
              <w:jc w:val="left"/>
            </w:pPr>
            <w:r>
              <w:rPr>
                <w:rFonts w:ascii="Times New Roman" w:hAnsi="Times New Roman" w:cs="Times New Roman" w:eastAsia="Times New Roman"/>
                <w:b w:val="false"/>
                <w:sz w:val="26"/>
              </w:rPr>
              <w:t>Phí :  Đồng</w:t>
              <w:t xml:space="preserve"> (-Thực hiện giao dịch trực tiếp hoặc qua hệ thống bưu chính: 65.000 đồng/hồ sơ. -Thực hiện giao dịch trực tuyến mức độ 3, mức độ 4: 32.500 đồng/ hồ sơ.)</w:t>
              <w:br/>
              <w:t>File đính kèm: 13_2021_NQ_HĐND.pdf</w:t>
            </w:r>
          </w:p>
        </w:tc>
        <w:tc>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 </w:t>
            </w:r>
          </w:p>
        </w:tc>
        <w:tc>
          <w:p/>
          <w:p>
            <w:pPr>
              <w:spacing w:after="0" w:before="0" w:lineRule="auto" w:line="276"/>
              <w:jc w:val="left"/>
            </w:pPr>
            <w:r>
              <w:rPr>
                <w:rFonts w:ascii="Times New Roman" w:hAnsi="Times New Roman" w:cs="Times New Roman" w:eastAsia="Times New Roman"/>
                <w:b w:val="false"/>
                <w:sz w:val="26"/>
              </w:rPr>
              <w:t>Phí :  Đồng</w:t>
              <w:t xml:space="preserve"> (-Thực hiện giao dịch trực tiếp hoặc qua hệ thống bưu chính: 65.000 đồng/hồ sơ. -Thực hiện giao dịch trực tuyến mức độ 3, mức độ 4: 32.500 đồng/ hồ sơ.)</w:t>
              <w:br/>
              <w:t>File đính kèm: 13_2021_NQ_HĐND.pdf</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 </w:t>
            </w:r>
          </w:p>
        </w:tc>
        <w:tc>
          <w:p/>
          <w:p>
            <w:pPr>
              <w:spacing w:after="0" w:before="0" w:lineRule="auto" w:line="276"/>
              <w:jc w:val="left"/>
            </w:pPr>
            <w:r>
              <w:rPr>
                <w:rFonts w:ascii="Times New Roman" w:hAnsi="Times New Roman" w:cs="Times New Roman" w:eastAsia="Times New Roman"/>
                <w:b w:val="false"/>
                <w:sz w:val="26"/>
              </w:rPr>
              <w:t>Phí :  Đồng</w:t>
              <w:t xml:space="preserve"> (-Thực hiện giao dịch trực tiếp hoặc qua hệ thống bưu chính: 65.000 đồng/hồ sơ. -Thực hiện giao dịch trực tuyến mức độ 3, mức độ 4: 32.500 đồng/ hồ sơ.)</w:t>
              <w:br/>
              <w:t>File đính kèm: 13_2021_NQ_HĐND.pdf</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a) Yêu cầu chuyển tiếp đăng ký thế chấp quyền tài sản phát sinh từ hợp đồng mua bán nhà ở sang đăng ký thế chấp nhà ở hình thành trong tương lai, hồ sơ gồm: - Phiếu yêu cầu chuyển tiếp đăng ký thế chấp (01 bản chính); -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 - Văn bản uỷ quyền trong trường hợp người yêu cầu đăng ký là người được ủy quyền (01 bản chính hoặc 01 bản sao có chứng thực hoặc 01 bản sao không có chứng thực kèm bản chính để đối chiếu).</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Yêu cầu chuyển tiếp đăng ký thế chấp quyền tài sản phát sinh từ hợp đồng mua bán nhà ở sang đăng ký thế chấp nhà ở hình thành trong tương lai, hồ sơ gồm: - Phiếu yêu cầu chuyển tiếp đăng ký thế chấp (01 bản chính); -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 - Văn bản uỷ quyền trong trường hợp người yêu cầu đăng ký là người được ủy quyền (01 bản chính hoặc 01 bản sao có chứng thực hoặc 01 bản sao không có chứng thực kèm bản chính để đối chiếu).</w:t>
            </w:r>
          </w:p>
        </w:tc>
        <w:tc>
          <w:p/>
          <w:p>
            <w:pPr>
              <w:spacing w:after="0" w:before="0" w:lineRule="auto" w:line="276"/>
              <w:jc w:val="left"/>
            </w:pPr>
            <w:r>
              <w:rPr>
                <w:rFonts w:ascii="Times New Roman" w:hAnsi="Times New Roman" w:cs="Times New Roman" w:eastAsia="Times New Roman"/>
                <w:b w:val="false"/>
                <w:sz w:val="26"/>
              </w:rPr>
              <w:t>7. TTHC 8- Mau05-CTĐK.doc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Yêu cầu chuyển tiếp đăng ký thế chấp quyền tài sản phát sinh từ hợp đồng mua bán nhà ở sang đăng ký thế chấp nhà ở do nhà ở hình thành trong tương lai đã được hình thành (đã được nghiệm thu đưa vào sử dụng), hồ sơ gồm: - Phiếu yêu cầu chuyển tiếp đăng ký thế chấp (01 bản chính); - Văn bản cung cấp thông tin về việc thế chấp quyền tài sản phát sinh từ hợp đồng mua bán nhà ở (01 bản chính hoặc 01 bản sao không có chứng thực kèm bản chính để đối chiếu) hoặc văn bản chứng nhận đăng ký biện pháp bảo đảm (01 bản chính hoặc 01 bản sao không có chứng thực kèm bản chính để đối chiếu) và văn bản chứng nhận đăng ký thay đổi nội dung thế chấp đã đăng ký do cơ quan đăng ký thế chấp quyền tài sản cấp, nếu có (01 bản chính hoặc 01 bản sao không có chứng thực kèm bản chính để đối chiếu); - Văn bản uỷ quyền trong trường hợp người yêu cầu đăng ký là người được ủy quyền (01 bản chính hoặc 01 bản sao có chứng thực hoặc 01 bản sao không có chứng thực kèm bản chính để đối chiếu); - Hợp đồng thế chấp nhà ở có công chứng, chứng thực theo quy định của pháp luật (01 bản chính hoặc 01 bản sao có chứng thực); - Giấy chứng nhận (đã có chứng nhận quyền sở hữu nhà ở).</w:t>
            </w:r>
          </w:p>
        </w:tc>
        <w:tc>
          <w:p/>
          <w:p>
            <w:pPr>
              <w:spacing w:after="0" w:before="0" w:lineRule="auto" w:line="276"/>
              <w:jc w:val="left"/>
            </w:pPr>
            <w:r>
              <w:rPr>
                <w:rFonts w:ascii="Times New Roman" w:hAnsi="Times New Roman" w:cs="Times New Roman" w:eastAsia="Times New Roman"/>
                <w:b w:val="false"/>
                <w:sz w:val="26"/>
              </w:rPr>
              <w:t>7. TTHC 8- Mau05-CTĐK.doc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c) Đối với các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hình thành trong tương lai hoặc sang đăng ký thế chấp tài sản gắn liền với đất do tài sản đã hình thành thì hồ sơ như hồ sơ chuyển tiếp đăng ký thế chấp quyền tài sản phát sinh từ hợp đồng mua bán nhà ở.</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Cán bộ, công chức, viên chức, 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đất đai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Văn phòng đăng ký đất đai Khánh Hòa hoặc Chi nhánh Văn phòng đăng ký đất đai hoặc UBND cấp xã nơi có đất.</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Phiếu yêu cầu chuyển tiếp đăng ký thế chấp (có chứng nhận của Văn phòng đăng ký đất đai)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45/2013/QH13</w:t>
            </w:r>
          </w:p>
        </w:tc>
        <w:tc>
          <w:p/>
          <w:p>
            <w:pPr>
              <w:spacing w:after="0" w:before="0" w:lineRule="auto" w:line="276"/>
              <w:jc w:val="left"/>
            </w:pPr>
            <w:r>
              <w:rPr>
                <w:rFonts w:ascii="Times New Roman" w:hAnsi="Times New Roman" w:cs="Times New Roman" w:eastAsia="Times New Roman"/>
                <w:b w:val="false"/>
                <w:sz w:val="26"/>
              </w:rPr>
              <w:t>Đất đai</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Quy định chi tiết thi hành một số điều của Luật Đất đai</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99/2015/NĐ-CP</w:t>
            </w:r>
          </w:p>
        </w:tc>
        <w:tc>
          <w:p/>
          <w:p>
            <w:pPr>
              <w:spacing w:after="0" w:before="0" w:lineRule="auto" w:line="276"/>
              <w:jc w:val="left"/>
            </w:pPr>
            <w:r>
              <w:rPr>
                <w:rFonts w:ascii="Times New Roman" w:hAnsi="Times New Roman" w:cs="Times New Roman" w:eastAsia="Times New Roman"/>
                <w:b w:val="false"/>
                <w:sz w:val="26"/>
              </w:rPr>
              <w:t>Quy định chi tiết và hướng dẫn thi hành một số điều của Luật Nhà ở</w:t>
            </w:r>
          </w:p>
        </w:tc>
        <w:tc>
          <w:p/>
          <w:p>
            <w:pPr>
              <w:spacing w:after="0" w:before="0" w:lineRule="auto" w:line="276"/>
              <w:jc w:val="left"/>
            </w:pPr>
            <w:r>
              <w:rPr>
                <w:rFonts w:ascii="Times New Roman" w:hAnsi="Times New Roman" w:cs="Times New Roman" w:eastAsia="Times New Roman"/>
                <w:b w:val="false"/>
                <w:sz w:val="26"/>
              </w:rPr>
              <w:t>20-10-2015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97/2015/QH13</w:t>
            </w:r>
          </w:p>
        </w:tc>
        <w:tc>
          <w:p/>
          <w:p>
            <w:pPr>
              <w:spacing w:after="0" w:before="0" w:lineRule="auto" w:line="276"/>
              <w:jc w:val="left"/>
            </w:pPr>
            <w:r>
              <w:rPr>
                <w:rFonts w:ascii="Times New Roman" w:hAnsi="Times New Roman" w:cs="Times New Roman" w:eastAsia="Times New Roman"/>
                <w:b w:val="false"/>
                <w:sz w:val="26"/>
              </w:rPr>
              <w:t>Phí và lệ phí</w:t>
            </w:r>
          </w:p>
        </w:tc>
        <w:tc>
          <w:p/>
          <w:p>
            <w:pPr>
              <w:spacing w:after="0" w:before="0" w:lineRule="auto" w:line="276"/>
              <w:jc w:val="left"/>
            </w:pPr>
            <w:r>
              <w:rPr>
                <w:rFonts w:ascii="Times New Roman" w:hAnsi="Times New Roman" w:cs="Times New Roman" w:eastAsia="Times New Roman"/>
                <w:b w:val="false"/>
                <w:sz w:val="26"/>
              </w:rPr>
              <w:t>25-11-2015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09/2016/TTLT-BTP-BTNMT</w:t>
            </w:r>
          </w:p>
        </w:tc>
        <w:tc>
          <w:p/>
          <w:p>
            <w:pPr>
              <w:spacing w:after="0" w:before="0" w:lineRule="auto" w:line="276"/>
              <w:jc w:val="left"/>
            </w:pPr>
            <w:r>
              <w:rPr>
                <w:rFonts w:ascii="Times New Roman" w:hAnsi="Times New Roman" w:cs="Times New Roman" w:eastAsia="Times New Roman"/>
                <w:b w:val="false"/>
                <w:sz w:val="26"/>
              </w:rPr>
              <w:t>Hướng dẫn việc đăng ký thế chấp quyền sử dụng đất, tài sản gắn liền với đất</w:t>
            </w:r>
          </w:p>
        </w:tc>
        <w:tc>
          <w:p/>
          <w:p>
            <w:pPr>
              <w:spacing w:after="0" w:before="0" w:lineRule="auto" w:line="276"/>
              <w:jc w:val="left"/>
            </w:pPr>
            <w:r>
              <w:rPr>
                <w:rFonts w:ascii="Times New Roman" w:hAnsi="Times New Roman" w:cs="Times New Roman" w:eastAsia="Times New Roman"/>
                <w:b w:val="false"/>
                <w:sz w:val="26"/>
              </w:rPr>
              <w:t>23-06-2016</w:t>
            </w:r>
          </w:p>
        </w:tc>
        <w:tc>
          <w:p/>
          <w:p>
            <w:pPr>
              <w:spacing w:after="0" w:before="0" w:lineRule="auto" w:line="276"/>
              <w:jc w:val="left"/>
            </w:pPr>
            <w:r>
              <w:rPr>
                <w:rFonts w:ascii="Times New Roman" w:hAnsi="Times New Roman" w:cs="Times New Roman" w:eastAsia="Times New Roman"/>
                <w:b w:val="false"/>
                <w:sz w:val="26"/>
              </w:rPr>
              <w:t>Bộ Tư pháp</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102/2017/NĐ-CP</w:t>
            </w:r>
          </w:p>
        </w:tc>
        <w:tc>
          <w:p/>
          <w:p>
            <w:pPr>
              <w:spacing w:after="0" w:before="0" w:lineRule="auto" w:line="276"/>
              <w:jc w:val="left"/>
            </w:pPr>
            <w:r>
              <w:rPr>
                <w:rFonts w:ascii="Times New Roman" w:hAnsi="Times New Roman" w:cs="Times New Roman" w:eastAsia="Times New Roman"/>
                <w:b w:val="false"/>
                <w:sz w:val="26"/>
              </w:rPr>
              <w:t>Về đăng ký biện pháp bảo đảm</w:t>
            </w:r>
          </w:p>
        </w:tc>
        <w:tc>
          <w:p/>
          <w:p>
            <w:pPr>
              <w:spacing w:after="0" w:before="0" w:lineRule="auto" w:line="276"/>
              <w:jc w:val="left"/>
            </w:pPr>
            <w:r>
              <w:rPr>
                <w:rFonts w:ascii="Times New Roman" w:hAnsi="Times New Roman" w:cs="Times New Roman" w:eastAsia="Times New Roman"/>
                <w:b w:val="false"/>
                <w:sz w:val="26"/>
              </w:rPr>
              <w:t>01-09-2017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2024-03-29T08:16:33Z</dcterms:created>
  <dc:creator>Apache POI</dc:creator>
</cp:coreProperties>
</file>