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after="300" w:before="0" w:lineRule="auto" w:line="276"/>
        <w:jc w:val="center"/>
      </w:pPr>
      <w:r>
        <w:rPr>
          <w:rFonts w:ascii="Times New Roman" w:hAnsi="Times New Roman" w:cs="Times New Roman" w:eastAsia="Times New Roman"/>
          <w:b w:val="true"/>
          <w:sz w:val="26"/>
        </w:rPr>
        <w:t>Chi tiết thủ tục hành chính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Mã thủ tục: </w:t>
      </w:r>
      <w:r>
        <w:rPr>
          <w:rFonts w:ascii="Times New Roman" w:hAnsi="Times New Roman" w:cs="Times New Roman" w:eastAsia="Times New Roman"/>
          <w:b w:val="false"/>
          <w:sz w:val="26"/>
        </w:rPr>
        <w:t>1.001714.000.00.00.H47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Số quyết định: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Tên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Cấp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Loại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Lĩnh vực: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Trình tự thực hiện: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/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Cách thức thực hiện: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Hình thức nộp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Thời hạn giải quyết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Phí, lệ phí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Mô tả</w:t>
            </w:r>
          </w:p>
        </w:tc>
      </w:tr>
      <w:tr>
        <w:tc>
          <w:p/>
        </w:tc>
        <w:tc>
          <w:p/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</w:r>
          </w:p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Thành phần hồ sơ: </w:t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Đối tượng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có thẩm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Địa chỉ tiếp nhận HS: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được ủy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phối hợp: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Kết quả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Căn cứ pháp lý: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ký hiệu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Trích yếu</w:t>
            </w:r>
          </w:p>
        </w:tc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Ngày ban hành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Cơ quan ban hành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Yêu cầu, điều kiện thực hiện: </w:t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Từ khóa: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Mô tả: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sectPr>
      <w:pgMar w:left="1702" w:top="1137" w:right="1137" w:bottom="1137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2024-03-29T15:29:51Z</dcterms:created>
  <dc:creator>Apache POI</dc:creator>
</cp:coreProperties>
</file>