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1.001776.000.00.00.H47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Thực hiện, điều chỉnh, thôi hưởng trợ cấp xã hội hàng tháng, hỗ trợ kinh phí chăm sóc, nuôi dưỡng hàng tháng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hoặc người giám hộ của đối tượng bảo trợ xã hội làm hồ sơ theo quy định, gửi Chủ tịch Ủy ban nhân dân cấp xã. Khi nộp hồ sơ cần xuất trình các giấy tờ sau để cán bộ tiếp nhận hồ sơ đối chiếu các thông tin kê khai trong tờ khai:
- Sổ hộ khẩu của đối tượng hoặc văn bản xác nhận của công an xã, phường, thị trấn (sau đây gọi chung là công an cấp xã).
- Giấy khai sinh của trẻ em đối với trường hợp xét trợ cấp xã hội đối với trẻ em, người đơn thân nghèo đang nuôi con, người khuyết tật đang nuôi con.
- Giấy tờ xác nhận bị nhiễm HIV của cơ quan y tế có thẩm quyền đối với trường hợp bị nhiễm HIV.
- Giấy tờ xác nhận đang mang thai của cơ quan y tế có thẩm quyền đối với trường hợp người khuyết tật đang mang thai.
- Giấy xác nhận khuyết tật đối với trường hợp người khuyết tật</w:t>
      </w:r>
    </w:p>
    <w:p>
      <w:pPr>
        <w:spacing w:after="0" w:before="0" w:lineRule="auto" w:line="276"/>
        <w:jc w:val="both"/>
      </w:pPr>
      <w:r>
        <w:rPr>
          <w:rFonts w:ascii="Times New Roman" w:hAnsi="Times New Roman" w:cs="Times New Roman" w:eastAsia="Times New Roman"/>
          <w:b w:val="false"/>
          <w:sz w:val="26"/>
        </w:rPr>
        <w:t>Bước 2: Trong thời hạn 10 ngày làm việc, kể từ ngày nhận đủ hồ sơ, Hội đồng xét duyệt trợ giúp xã hội (sau đây gọi chung là Hội đồng xét duyệt) thực hiện xét duyệt và niêm yết công khai kết quả xét duyệt tại trụ sở Ủy ban nhân dân cấp xã trong thời gian 05 ngày làm việc, trừ những thông tin liên quan đến HIV của đối tượng.
Khi hết thời gian niêm yết, nếu không có khiếu nại thì Hội đồng xét duyệt bổ sung biên bản họp kết luận của Hội đồng xét duyệt vào hồ sơ của đối tượng, trình Chủ tịch Ủy ban nhân dân cấp xã.
Trường hợp có khiếu nại, trong thời hạn 10 ngày làm việc, kể từ ngày nhận được khiếu nại, Hội đồng xét duyệt kết luận và công khai về vấn đề khiếu nại, trình Chủ tịch Ủy ban nhân dân cấp xã</w:t>
      </w:r>
    </w:p>
    <w:p>
      <w:pPr>
        <w:spacing w:after="0" w:before="0" w:lineRule="auto" w:line="276"/>
        <w:jc w:val="both"/>
      </w:pPr>
      <w:r>
        <w:rPr>
          <w:rFonts w:ascii="Times New Roman" w:hAnsi="Times New Roman" w:cs="Times New Roman" w:eastAsia="Times New Roman"/>
          <w:b w:val="false"/>
          <w:sz w:val="26"/>
        </w:rPr>
        <w:t>Bước 3: Trong thời hạn 03 ngày làm việc, kể từ ngày nhận được biên bản kết luận của Hội đồng xét duyệt, Chủ tịch Ủy ban nhân dân cấp xã có văn bản (kèm theo hồ sơ của đối tượng) gửi Phòng Lao động - Thương binh và Xã hội</w:t>
      </w:r>
    </w:p>
    <w:p>
      <w:pPr>
        <w:spacing w:after="0" w:before="0" w:lineRule="auto" w:line="276"/>
        <w:jc w:val="both"/>
      </w:pPr>
      <w:r>
        <w:rPr>
          <w:rFonts w:ascii="Times New Roman" w:hAnsi="Times New Roman" w:cs="Times New Roman" w:eastAsia="Times New Roman"/>
          <w:b w:val="false"/>
          <w:sz w:val="26"/>
        </w:rPr>
        <w:t>Bước 4: Trong thời hạn 07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quận, huyện, thị xã, thành phố thuộc tỉnh (sau đây gọi chung là Ủy ban nhân dân cấp huyện) quyết định trợ cấp xã hội cho đối tượng. Trường hợp đối tượng không đủ điều kiện hưởng, Phòng Lao động - Thương binh và Xã hội phải trả lời bằng văn bản và nêu rõ lý do</w:t>
      </w:r>
    </w:p>
    <w:p>
      <w:pPr>
        <w:spacing w:after="0" w:before="0" w:lineRule="auto" w:line="276"/>
        <w:jc w:val="both"/>
      </w:pPr>
      <w:r>
        <w:rPr>
          <w:rFonts w:ascii="Times New Roman" w:hAnsi="Times New Roman" w:cs="Times New Roman" w:eastAsia="Times New Roman"/>
          <w:b w:val="false"/>
          <w:sz w:val="26"/>
        </w:rPr>
        <w:t>Bước 5: Trong thời hạn 03 ngày làm việc, kể từ ngày nhận được văn bản trình của Phòng Lao động - Thương binh và Xã hội, Chủ tịch Ủy ban nhân dân cấp huyện xem xét, quyết định trợ cấp xã hội hàng tháng cho đối tượng.
Thời gian hưởng trợ cấp xã hội đối với người cao tuổi quy định tại Điểm b Khoản 5 Điều 5 Nghị định số 136/2013/NĐ-CP kể từ thời điểm người đó đủ 80 tuổi. Thời gian hưởng trợ cấp xã hội hàng tháng của đối tượng khác kể từ tháng Chủ tịch Ủy ban nhân dân cấp huyện ký quyết định trợ cấp xã hội hàng tháng.
Thời gian điều chỉnh, thôi hưởng trợ cấp xã hội hàng tháng kể từ tháng ngay sau tháng Chủ tịch Ủy ban nhân dân cấp huyện ký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qua đường bưu điện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trực tiếp hoặc gửi hồ sơ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Đối với hồ sơ đề nghị hỗ trợ kinh phí chăm sóc, nuôi dưỡng hàng tháng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hộ gia đình có người khuyết tật (theo Mẫu số 2a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2a.docx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khai nhận chăm sóc, nuôi dưỡng đối tượng bảo trợ xã hội (theo Mẫu số 2b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2b.docx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Tờ khai của đối tượng được nhận chăm sóc, nuôi dưỡng trong trường hợp đối tượng không hưởng trợ cấp xã hội hàng tháng (theo Mẫu số 03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03.docx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đề nghị trợ cấp xã hội hàng tháng</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của đối tượng (theo Mẫu số 1a, 1b, 1c, 1d, 1đ ban hành kèm theo Nghị định số 20/2021/NĐ-CP).</w:t>
            </w:r>
          </w:p>
        </w:tc>
        <w:tc>
          <w:p/>
          <w:p>
            <w:pPr>
              <w:spacing w:after="0" w:before="0" w:lineRule="auto" w:line="276"/>
              <w:jc w:val="left"/>
            </w:pPr>
            <w:r>
              <w:rPr>
                <w:rFonts w:ascii="Times New Roman" w:hAnsi="Times New Roman" w:cs="Times New Roman" w:eastAsia="Times New Roman"/>
                <w:b w:val="false"/>
                <w:sz w:val="26"/>
              </w:rPr>
              <w:t>Mau so 1a.docx</w:t>
            </w:r>
          </w:p>
          <w:p>
            <w:pPr>
              <w:spacing w:after="0" w:before="0" w:lineRule="auto" w:line="276"/>
              <w:jc w:val="left"/>
            </w:pPr>
            <w:r>
              <w:rPr>
                <w:rFonts w:ascii="Times New Roman" w:hAnsi="Times New Roman" w:cs="Times New Roman" w:eastAsia="Times New Roman"/>
                <w:b w:val="false"/>
                <w:sz w:val="26"/>
              </w:rPr>
              <w:t>Mau so 1b.docx</w:t>
            </w:r>
          </w:p>
          <w:p>
            <w:pPr>
              <w:spacing w:after="0" w:before="0" w:lineRule="auto" w:line="276"/>
              <w:jc w:val="left"/>
            </w:pPr>
            <w:r>
              <w:rPr>
                <w:rFonts w:ascii="Times New Roman" w:hAnsi="Times New Roman" w:cs="Times New Roman" w:eastAsia="Times New Roman"/>
                <w:b w:val="false"/>
                <w:sz w:val="26"/>
              </w:rPr>
              <w:t>Mau so 1c.docx</w:t>
            </w:r>
          </w:p>
          <w:p>
            <w:pPr>
              <w:spacing w:after="0" w:before="0" w:lineRule="auto" w:line="276"/>
              <w:jc w:val="left"/>
            </w:pPr>
            <w:r>
              <w:rPr>
                <w:rFonts w:ascii="Times New Roman" w:hAnsi="Times New Roman" w:cs="Times New Roman" w:eastAsia="Times New Roman"/>
                <w:b w:val="false"/>
                <w:sz w:val="26"/>
              </w:rPr>
              <w:t>Mau so 1d.docx</w:t>
            </w:r>
          </w:p>
          <w:p>
            <w:pPr>
              <w:spacing w:after="0" w:before="0" w:lineRule="auto" w:line="276"/>
              <w:jc w:val="left"/>
            </w:pPr>
            <w:r>
              <w:rPr>
                <w:rFonts w:ascii="Times New Roman" w:hAnsi="Times New Roman" w:cs="Times New Roman" w:eastAsia="Times New Roman"/>
                <w:b w:val="false"/>
                <w:sz w:val="26"/>
              </w:rPr>
              <w:t>Mau so 1đ.docx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Ủy ban nhân dân cấp Huyện,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xã hội hàng tháng, hỗ trợ kinh phí chăm sóc, nuôi dưỡng hàng tháng cho đối tượng.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136/2013/NĐ-CP</w:t>
            </w:r>
          </w:p>
        </w:tc>
        <w:tc>
          <w:p/>
          <w:p>
            <w:pPr>
              <w:spacing w:after="0" w:before="0" w:lineRule="auto" w:line="276"/>
              <w:jc w:val="left"/>
            </w:pPr>
            <w:r>
              <w:rPr>
                <w:rFonts w:ascii="Times New Roman" w:hAnsi="Times New Roman" w:cs="Times New Roman" w:eastAsia="Times New Roman"/>
                <w:b w:val="false"/>
                <w:sz w:val="26"/>
              </w:rPr>
              <w:t>Nghị định 136/2013/NĐ-CP - 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21-10-2013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29/2014/TTLT-BLĐTBXH-BTC</w:t>
            </w:r>
          </w:p>
        </w:tc>
        <w:tc>
          <w:p/>
          <w:p>
            <w:pPr>
              <w:spacing w:after="0" w:before="0" w:lineRule="auto" w:line="276"/>
              <w:jc w:val="left"/>
            </w:pPr>
            <w:r>
              <w:rPr>
                <w:rFonts w:ascii="Times New Roman" w:hAnsi="Times New Roman" w:cs="Times New Roman" w:eastAsia="Times New Roman"/>
                <w:b w:val="false"/>
                <w:sz w:val="26"/>
              </w:rPr>
              <w:t>Thông tư liên tịch 29/2014/TTLT-BLĐTBXH-BTC - Hướng dẫn thực hiện một số điều của Nghị định số 136/2013/NĐ-CP ngày 21 tháng 10 năm 2013 của Chính phủ 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24-10-2014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140/2018/NĐ-CP</w:t>
            </w:r>
          </w:p>
        </w:tc>
        <w:tc>
          <w:p/>
          <w:p>
            <w:pPr>
              <w:spacing w:after="0" w:before="0" w:lineRule="auto" w:line="276"/>
              <w:jc w:val="left"/>
            </w:pPr>
            <w:r>
              <w:rPr>
                <w:rFonts w:ascii="Times New Roman" w:hAnsi="Times New Roman" w:cs="Times New Roman" w:eastAsia="Times New Roman"/>
                <w:b w:val="false"/>
                <w:sz w:val="26"/>
              </w:rPr>
              <w:t>Nghị định 140/2018/NĐ-CP - Sửa đổi, bổ sung các Nghị định liên quan đến điều kiện đầu tư kinh doanh và thủ tục hành chính thuộc phạm vi quản lý nhà nước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08-10-2018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Đối tượng, người giám hộ của đối tượng quy định tại Điều 5; hộ gia đình, cá nhân nhận chăm sóc, nuôi dưỡng hàng tháng tại cộng đồng theo quy định tại khoản 1 Điều 18 Nghị định số 20/2021/NĐ-CP.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2024-03-28T18:05:19Z</dcterms:created>
  <dc:creator>Apache POI</dc:creator>
</cp:coreProperties>
</file>