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1.001874.000.00.00.H56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592/QĐ-UBND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đổi Giấy chứng nhận đăng ký hoạt động của cơ sở tư vấn về phòng, chống bạo lực gia đình (thẩm quyền của Uỷ ban nhân dân cấp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Gia đình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Cơ sở tư vấn về phòng, chống bạo lực gia đình do các tổ chức, cá nhân trong nước thành lập đã được Uỷ ban nhân dân cấp huyện cấp Giấy chứng nhận đăng ký hoạt động nếu có thay đổi về tên gọi, địa chỉ đặt trụ sở, người đứng đầu, nội dung hoạt động thì nộp hồ sơ cho Phòng Văn hóa và Thông tin. 
- Phòng Văn hóa và Thông tin tiếp nhận hồ sơ và cấp giấy biên nhận cho bên nộp hồ sơ. 
- Trong thời hạn 10 ngày làm việc kể từ ngày nhận đủ hồ sơ hợp lệ, Phòng Văn hoá và Thông tin phải có kết quả thẩm định hồ sơ.
Trường hợp hồ sơ chưa hợp lệ thì cơ quan tiếp nhận hồ sơ có trách nhiệm hướng dẫn cơ sở hoàn thiện hồ sơ, thời hạn có kết quả thẩm định được tính lại từ khi nhận đủ hồ sơ hợp lệ.
- Trong thời hạn 03 ngày làm việc kể từ khi có kết quả thẩm định, cơ quan thẩm định phải gửi một bộ hồ sơ và biên bản thẩm định cơ sở tư vấn về phòng, chống bạo lực gia đình tới Uỷ ban nhân dân cấp huyện. 
- Trong thời hạn 07 ngày làm việc kể từ khi nhận đủ hồ sơ và biên bản thẩm định, Uỷ ban nhân dân cấp huyện có trách nhiệm đổi Giấy chứng nhận  đăng ký hoạt động cho cơ sở tư vấn về phòng, chống bạo lực gia đình. 
- Quy chế hoạt động sửa đổi, bổ sung của cơ sở được cơ quan cấp Giấy chứng nhận đăng ký hoạt động phê duyệt đồng thời với việc cấp Giấy chứng nhận đăng ký hoạt động cho cơ sở. 
Trường hợp từ chối đổi Giấy chứng nhận đăng ký hoạt động thì Uỷ ban nhân dân cấp huyện phải trả lời bằng văn bản,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Thời gian thực hiện là 20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Thời gian thực hiện là 20 ngày làm việc kể từ ngày nhận đủ hồ sơ hợp lệ.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Thời gian thực hiện là 20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đề nghị đổi Giấy chứng nhận đăng ký hoạt động cơ sở tư vấn về phòng, chống bạo lực gia đình;</w:t>
            </w:r>
          </w:p>
        </w:tc>
        <w:tc>
          <w:p/>
          <w:p>
            <w:pPr>
              <w:spacing w:after="0" w:before="0" w:lineRule="auto" w:line="276"/>
              <w:jc w:val="left"/>
            </w:pPr>
            <w:r>
              <w:rPr>
                <w:rFonts w:ascii="Times New Roman" w:hAnsi="Times New Roman" w:cs="Times New Roman" w:eastAsia="Times New Roman"/>
                <w:b w:val="false"/>
                <w:sz w:val="26"/>
              </w:rPr>
              <w:t>mẫu đơn đổi GCN.CSTV.gia đình.huyện.docx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Giấy chứng nhận đăng ký hoạt động đã được cấp cho cơ sở;</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Các giấy tờ liên quan đến nội dung thay đổi (tên gọi, địa chỉ, người đứng đầu, nội dung hoạt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4. Dự thảo Quy chế hoạt động sửa đổi, bổ sung của cơ sở tư vấn về phòng, chống bạo lực gia đình (nếu có sửa đổi, bổ sung).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Văn hóa và Thông tin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thuộc Văn phòng HĐND và UBND cấp huyện.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hoạt động cho cơ sở tư vấn về phòng, chống bạo lực gia đình; Quy chế hoạt động sửa đổi, bổ sung của cơ sở được Ủy ban nhân dân cấp huyện phê duyệt (trường hợp có sửa đổi, bổ sung)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02/2007/QH12</w:t>
            </w:r>
          </w:p>
        </w:tc>
        <w:tc>
          <w:p/>
          <w:p>
            <w:pPr>
              <w:spacing w:after="0" w:before="0" w:lineRule="auto" w:line="276"/>
              <w:jc w:val="left"/>
            </w:pPr>
            <w:r>
              <w:rPr>
                <w:rFonts w:ascii="Times New Roman" w:hAnsi="Times New Roman" w:cs="Times New Roman" w:eastAsia="Times New Roman"/>
                <w:b w:val="false"/>
                <w:sz w:val="26"/>
              </w:rPr>
              <w:t>Phòng, chống bạo lực gia đình</w:t>
            </w:r>
          </w:p>
        </w:tc>
        <w:tc>
          <w:p/>
          <w:p>
            <w:pPr>
              <w:spacing w:after="0" w:before="0" w:lineRule="auto" w:line="276"/>
              <w:jc w:val="left"/>
            </w:pPr>
            <w:r>
              <w:rPr>
                <w:rFonts w:ascii="Times New Roman" w:hAnsi="Times New Roman" w:cs="Times New Roman" w:eastAsia="Times New Roman"/>
                <w:b w:val="false"/>
                <w:sz w:val="26"/>
              </w:rPr>
              <w:t>21-11-2007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08/2009/NĐ-CP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Phòng, chống bạo lực gia đình</w:t>
            </w:r>
          </w:p>
        </w:tc>
        <w:tc>
          <w:p/>
          <w:p>
            <w:pPr>
              <w:spacing w:after="0" w:before="0" w:lineRule="auto" w:line="276"/>
              <w:jc w:val="left"/>
            </w:pPr>
            <w:r>
              <w:rPr>
                <w:rFonts w:ascii="Times New Roman" w:hAnsi="Times New Roman" w:cs="Times New Roman" w:eastAsia="Times New Roman"/>
                <w:b w:val="false"/>
                <w:sz w:val="26"/>
              </w:rPr>
              <w:t>04-02-2009</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02/2010/TT-BVHTTDL</w:t>
            </w:r>
          </w:p>
        </w:tc>
        <w:tc>
          <w:p/>
          <w:p>
            <w:pPr>
              <w:spacing w:after="0" w:before="0" w:lineRule="auto" w:line="276"/>
              <w:jc w:val="left"/>
            </w:pPr>
            <w:r>
              <w:rPr>
                <w:rFonts w:ascii="Times New Roman" w:hAnsi="Times New Roman" w:cs="Times New Roman" w:eastAsia="Times New Roman"/>
                <w:b w:val="false"/>
                <w:sz w:val="26"/>
              </w:rPr>
              <w:t>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p/>
          <w:p>
            <w:pPr>
              <w:spacing w:after="0" w:before="0" w:lineRule="auto" w:line="276"/>
              <w:jc w:val="left"/>
            </w:pPr>
            <w:r>
              <w:rPr>
                <w:rFonts w:ascii="Times New Roman" w:hAnsi="Times New Roman" w:cs="Times New Roman" w:eastAsia="Times New Roman"/>
                <w:b w:val="false"/>
                <w:sz w:val="26"/>
              </w:rPr>
              <w:t>16-03-2010</w:t>
            </w:r>
          </w:p>
        </w:tc>
        <w:tc>
          <w:p/>
          <w:p>
            <w:pPr>
              <w:spacing w:after="0" w:before="0" w:lineRule="auto" w:line="276"/>
              <w:jc w:val="left"/>
            </w:pPr>
            <w:r>
              <w:rPr>
                <w:rFonts w:ascii="Times New Roman" w:hAnsi="Times New Roman" w:cs="Times New Roman" w:eastAsia="Times New Roman"/>
                <w:b w:val="false"/>
                <w:sz w:val="26"/>
              </w:rPr>
              <w:t>Bộ Văn hóa, Thể thao và Du lịch</w:t>
            </w:r>
          </w:p>
        </w:tc>
      </w:tr>
      <w:tr>
        <w:tc>
          <w:p/>
          <w:p>
            <w:pPr>
              <w:spacing w:after="0" w:before="0" w:lineRule="auto" w:line="276"/>
              <w:jc w:val="left"/>
            </w:pPr>
            <w:r>
              <w:rPr>
                <w:rFonts w:ascii="Times New Roman" w:hAnsi="Times New Roman" w:cs="Times New Roman" w:eastAsia="Times New Roman"/>
                <w:b w:val="false"/>
                <w:sz w:val="26"/>
              </w:rPr>
              <w:t>23/2014/TT-BVHTTDL</w:t>
            </w:r>
          </w:p>
        </w:tc>
        <w:tc>
          <w:p/>
          <w:p>
            <w:pPr>
              <w:spacing w:after="0" w:before="0" w:lineRule="auto" w:line="276"/>
              <w:jc w:val="left"/>
            </w:pPr>
            <w:r>
              <w:rPr>
                <w:rFonts w:ascii="Times New Roman" w:hAnsi="Times New Roman" w:cs="Times New Roman" w:eastAsia="Times New Roman"/>
                <w:b w:val="false"/>
                <w:sz w:val="26"/>
              </w:rPr>
              <w:t>Thông tư 23/2014/TT-BVHTTDL sửa đổi Thông tư 02/2010/TT-BVHTTDL</w:t>
            </w:r>
          </w:p>
        </w:tc>
        <w:tc>
          <w:p/>
          <w:p>
            <w:pPr>
              <w:spacing w:after="0" w:before="0" w:lineRule="auto" w:line="276"/>
              <w:jc w:val="left"/>
            </w:pPr>
            <w:r>
              <w:rPr>
                <w:rFonts w:ascii="Times New Roman" w:hAnsi="Times New Roman" w:cs="Times New Roman" w:eastAsia="Times New Roman"/>
                <w:b w:val="false"/>
                <w:sz w:val="26"/>
              </w:rPr>
              <w:t>20-02-2015</w:t>
            </w:r>
          </w:p>
        </w:tc>
        <w:tc>
          <w:p/>
          <w:p>
            <w:pPr>
              <w:spacing w:after="0" w:before="0" w:lineRule="auto" w:line="276"/>
              <w:jc w:val="left"/>
            </w:pPr>
            <w:r>
              <w:rPr>
                <w:rFonts w:ascii="Times New Roman" w:hAnsi="Times New Roman" w:cs="Times New Roman" w:eastAsia="Times New Roman"/>
                <w:b w:val="false"/>
                <w:sz w:val="26"/>
              </w:rPr>
              <w:t>Bộ Văn hóa, Thể thao và Du lịch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2024-03-28T14:29:51Z</dcterms:created>
  <dc:creator>Apache POI</dc:creator>
</cp:coreProperties>
</file>