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1.001971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6184/QĐ-BQP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thực hiện chế độ một lần đối với đối tượng hạ sĩ quan, chiến sĩ quân đội tham gia chiến đấu, hoạt động ở chiến trường B, C, K, sau đó trở thành người hưởng lương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Chính sách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Đối tượng hoặc thân nhân đối tượng làm bản khai theo mẫu qui định, kèm theo giấy tờ gốc và nộp cho UBND xã (phường).</w:t>
      </w:r>
    </w:p>
    <w:p>
      <w:pPr>
        <w:spacing w:after="0" w:before="0" w:lineRule="auto" w:line="276"/>
        <w:jc w:val="both"/>
      </w:pPr>
      <w:r>
        <w:rPr>
          <w:rFonts w:ascii="Times New Roman" w:hAnsi="Times New Roman" w:cs="Times New Roman" w:eastAsia="Times New Roman"/>
          <w:b w:val="false"/>
          <w:sz w:val="26"/>
        </w:rPr>
        <w:t>UBND xã (phường):
- Tiếp nhận hồ sơ của đối tượng, chuyển Trưởng thôn để tổ chức hội nghị liên tịch xem xét, xác nhận và đề nghị chế độ một lần.
- Tổng hợp danh sách và hồ sơ đối tượng do các Trưởng thôn báo cáo; đề nghị Ban chấp hành Hội Cựu chiến binh họp xem xét, xác nhận đối tượng.
- Tổ chức hội nghị Hội đồng chính sách công khai xét duyệt đối với các đối tượng do thôn và Ban chấp hành Hội Cựu chiến binh báo cáo.
- Niêm yết danh sách đối tượng đã xét duyệt (sau 15 ngày, nếu không có ý kiến thắc mắc, khiếu kiện thì tổng hợp danh sách và hồ sơ báo cáo UBND huyện, quận (qua Ban chỉ huy quân sự huyện, quận).
- Theo dõi việc nhận và tổ chức chi trả cho đối tượng.</w:t>
      </w:r>
    </w:p>
    <w:p>
      <w:pPr>
        <w:spacing w:after="0" w:before="0" w:lineRule="auto" w:line="276"/>
        <w:jc w:val="both"/>
      </w:pPr>
      <w:r>
        <w:rPr>
          <w:rFonts w:ascii="Times New Roman" w:hAnsi="Times New Roman" w:cs="Times New Roman" w:eastAsia="Times New Roman"/>
          <w:b w:val="false"/>
          <w:sz w:val="26"/>
        </w:rPr>
        <w:t>UBND huyện (quận):
- Chỉ đạo Ban chỉ huy quân sự huyện (quận) phối hợp với các cơ quan chức năng tổ chức xét duyệt thẩm định, tổng hợp và báo cáo UBND tỉnh, thành phố (qua Bộ Chỉ huy quân sự tỉnh, thành phố).
- Chỉ đạo tiến hành chi trả chế độ cho đối tượng.</w:t>
      </w:r>
    </w:p>
    <w:p>
      <w:pPr>
        <w:spacing w:after="0" w:before="0" w:lineRule="auto" w:line="276"/>
        <w:jc w:val="both"/>
      </w:pPr>
      <w:r>
        <w:rPr>
          <w:rFonts w:ascii="Times New Roman" w:hAnsi="Times New Roman" w:cs="Times New Roman" w:eastAsia="Times New Roman"/>
          <w:b w:val="false"/>
          <w:sz w:val="26"/>
        </w:rPr>
        <w:t>UBND tỉnh (thành phố):
Chỉ đạo Bộ chỉ huy quân sự tỉnh (thành phố) phối hợp với các cơ quan chức năng tổ chức xét duyệt thẩm định, tổng hợp danh sách báo cáo Quân khu (qua Cục Chính trị).</w:t>
      </w:r>
    </w:p>
    <w:p>
      <w:pPr>
        <w:spacing w:after="0" w:before="0" w:lineRule="auto" w:line="276"/>
        <w:jc w:val="both"/>
      </w:pPr>
      <w:r>
        <w:rPr>
          <w:rFonts w:ascii="Times New Roman" w:hAnsi="Times New Roman" w:cs="Times New Roman" w:eastAsia="Times New Roman"/>
          <w:b w:val="false"/>
          <w:sz w:val="26"/>
        </w:rPr>
        <w:t>Bộ Tư lệnh Quân khu:
- Tổ chức xét duyệt, tổng hợp danh sách của các tỉnh (thành phố), báo cáo Bộ Quốc phòng (qua Cục Chính sách) để thẩm định, tổng hợp.
- Sau khi có kết quả thẩm định của Cục Chính sách, Bộ Tư lệnh Quân khu ra quyết định hưởng chế độ cho đối tượng.</w:t>
      </w:r>
    </w:p>
    <w:p>
      <w:pPr>
        <w:spacing w:after="0" w:before="0" w:lineRule="auto" w:line="276"/>
        <w:jc w:val="both"/>
      </w:pPr>
      <w:r>
        <w:rPr>
          <w:rFonts w:ascii="Times New Roman" w:hAnsi="Times New Roman" w:cs="Times New Roman" w:eastAsia="Times New Roman"/>
          <w:b w:val="false"/>
          <w:sz w:val="26"/>
        </w:rPr>
        <w:t>Cục Chính sách-Tổng cục Chính trị:
- Thẩm định, kiểm tra kết quả xét duyệt, quyết định (kèm theo danh sách) của các quân khu.
- Tổng hợp, báo cáo Thủ trưởng Tổng cục Chính trị đề nghị Bộ Tài chính bảo đảm kinh phí.</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t>Lệ phí : 0 Đồng</w:t>
            </w:r>
          </w:p>
        </w:tc>
        <w:tc>
          <w:p/>
          <w:p>
            <w:pPr>
              <w:spacing w:after="0" w:before="0" w:lineRule="auto" w:line="276"/>
              <w:jc w:val="left"/>
            </w:pPr>
            <w:r>
              <w:rPr>
                <w:rFonts w:ascii="Times New Roman" w:hAnsi="Times New Roman" w:cs="Times New Roman" w:eastAsia="Times New Roman"/>
                <w:b w:val="false"/>
                <w:sz w:val="26"/>
              </w:rPr>
              <w:t>Cách thức thực hiện: Trực tiếp đến UBND xã (phường) để nộp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khai cá nhân có chứng nhận của cơ quan, đơn vị nơi công tác. Bản khai thân nhân (đối với đối tượng đã từ trần) phải kèm theo giấy uỷ quyền của các thân nhân chủ yếu khác, có xác nhận của chính quyền xã nơi cư trú;</w:t>
            </w:r>
          </w:p>
        </w:tc>
        <w:tc>
          <w:p/>
          <w:p>
            <w:pPr>
              <w:spacing w:after="0" w:before="0" w:lineRule="auto" w:line="276"/>
              <w:jc w:val="left"/>
            </w:pPr>
            <w:r>
              <w:rPr>
                <w:rFonts w:ascii="Times New Roman" w:hAnsi="Times New Roman" w:cs="Times New Roman" w:eastAsia="Times New Roman"/>
                <w:b w:val="false"/>
                <w:sz w:val="26"/>
              </w:rPr>
              <w:t>Mẫu 2A.doc</w:t>
            </w:r>
          </w:p>
          <w:p>
            <w:pPr>
              <w:spacing w:after="0" w:before="0" w:lineRule="auto" w:line="276"/>
              <w:jc w:val="left"/>
            </w:pPr>
            <w:r>
              <w:rPr>
                <w:rFonts w:ascii="Times New Roman" w:hAnsi="Times New Roman" w:cs="Times New Roman" w:eastAsia="Times New Roman"/>
                <w:b w:val="false"/>
                <w:sz w:val="26"/>
              </w:rPr>
              <w:t>Mẫu 04.doc</w:t>
            </w:r>
          </w:p>
          <w:p>
            <w:pPr>
              <w:spacing w:after="0" w:before="0" w:lineRule="auto" w:line="276"/>
              <w:jc w:val="left"/>
            </w:pPr>
            <w:r>
              <w:rPr>
                <w:rFonts w:ascii="Times New Roman" w:hAnsi="Times New Roman" w:cs="Times New Roman" w:eastAsia="Times New Roman"/>
                <w:b w:val="false"/>
                <w:sz w:val="26"/>
              </w:rPr>
              <w:t>Mẫu 2B.doc</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một trong các giấy tờ gốc, có công chứng Nhà nước hoặc chứng thực của UBND xã (phường) nơi cư trú (Giấy tờ gốc gồm: Lý lịch Đảng viên; lý lịch cán bộ, bản trích 63, lý lịch quân nhân; hồ sơ phục viên, xuất ngũ, thôi việc, hồ sơ hưởng chế độ bệnh binh, chế độ hưu trí hàng tháng);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Bản trích sao quá trình công tác được hưởng chế độ có xác nhận của cơ quan quản lý hồ sơ, lý lịch và bản sao photo toàn bộ quá trình công tác của đối tượng do cơ quan quản lý hồ sơ, lý lịch cung cấp và xác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Biên bản xem xét và xác nhận đối tượng của hội nghị liên tịch thôn, xóm, tổ dân phố, ấp;</w:t>
            </w:r>
          </w:p>
        </w:tc>
        <w:tc>
          <w:p/>
          <w:p>
            <w:pPr>
              <w:spacing w:after="0" w:before="0" w:lineRule="auto" w:line="276"/>
              <w:jc w:val="left"/>
            </w:pPr>
            <w:r>
              <w:rPr>
                <w:rFonts w:ascii="Times New Roman" w:hAnsi="Times New Roman" w:cs="Times New Roman" w:eastAsia="Times New Roman"/>
                <w:b w:val="false"/>
                <w:sz w:val="26"/>
              </w:rPr>
              <w:t>Mẫu 05. BIÊN BẢN HỌI NGHỊ LIÊN TICH.docx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xét và xác nhận của Hội nghị BCH Hội Cựu chiến binh xã, phường;</w:t>
            </w:r>
          </w:p>
        </w:tc>
        <w:tc>
          <w:p/>
          <w:p>
            <w:pPr>
              <w:spacing w:after="0" w:before="0" w:lineRule="auto" w:line="276"/>
              <w:jc w:val="left"/>
            </w:pPr>
            <w:r>
              <w:rPr>
                <w:rFonts w:ascii="Times New Roman" w:hAnsi="Times New Roman" w:cs="Times New Roman" w:eastAsia="Times New Roman"/>
                <w:b w:val="false"/>
                <w:sz w:val="26"/>
              </w:rPr>
              <w:t>Mẫu 06. BIÊN BẢN HỘI NGHỊ BCH HỘI CỰU CHIẾN BINH.docx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Công văn đề nghị hưởng chế độ một lần cho đối tượng;</w:t>
            </w:r>
          </w:p>
        </w:tc>
        <w:tc>
          <w:p/>
          <w:p>
            <w:pPr>
              <w:spacing w:after="0" w:before="0" w:lineRule="auto" w:line="276"/>
              <w:jc w:val="left"/>
            </w:pPr>
            <w:r>
              <w:rPr>
                <w:rFonts w:ascii="Times New Roman" w:hAnsi="Times New Roman" w:cs="Times New Roman" w:eastAsia="Times New Roman"/>
                <w:b w:val="false"/>
                <w:sz w:val="26"/>
              </w:rPr>
              <w:t>Mẫu 8A.docx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Công văn đề nghị của UBND xã, phường (kèm danh sách).</w:t>
            </w:r>
          </w:p>
        </w:tc>
        <w:tc>
          <w:p/>
          <w:p>
            <w:pPr>
              <w:spacing w:after="0" w:before="0" w:lineRule="auto" w:line="276"/>
              <w:jc w:val="left"/>
            </w:pPr>
            <w:r>
              <w:rPr>
                <w:rFonts w:ascii="Times New Roman" w:hAnsi="Times New Roman" w:cs="Times New Roman" w:eastAsia="Times New Roman"/>
                <w:b w:val="false"/>
                <w:sz w:val="26"/>
              </w:rPr>
              <w:t>Mẫu 9B.docx</w:t>
            </w:r>
          </w:p>
          <w:p>
            <w:pPr>
              <w:spacing w:after="0" w:before="0" w:lineRule="auto" w:line="276"/>
              <w:jc w:val="left"/>
            </w:pPr>
            <w:r>
              <w:rPr>
                <w:rFonts w:ascii="Times New Roman" w:hAnsi="Times New Roman" w:cs="Times New Roman" w:eastAsia="Times New Roman"/>
                <w:b w:val="false"/>
                <w:sz w:val="26"/>
              </w:rPr>
              <w:t>Mẫu 7A.docx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Bộ Tư lệnh Thủ đô Hà nội, Bộ Tư lệnh Quân khu</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UBND xã (phường)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về chế độ trợ cấp một lần với đối tượng trực tiếp tham gia kháng chiến chống Mỹ theo Quyết định số 290/2005/QĐ-TTg ngày 08/11/2005 của Thủ tướng Chính phủ</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290/2005/QĐ-TTg</w:t>
            </w:r>
          </w:p>
        </w:tc>
        <w:tc>
          <w:p/>
          <w:p>
            <w:pPr>
              <w:spacing w:after="0" w:before="0" w:lineRule="auto" w:line="276"/>
              <w:jc w:val="left"/>
            </w:pPr>
            <w:r>
              <w:rPr>
                <w:rFonts w:ascii="Times New Roman" w:hAnsi="Times New Roman" w:cs="Times New Roman" w:eastAsia="Times New Roman"/>
                <w:b w:val="false"/>
                <w:sz w:val="26"/>
              </w:rPr>
              <w:t>Về chế độ, chính sách đối với một số đối tượng trực tiếp tham gia kháng chiến chống Mỹ cứu nước nhưng chưa được hưởng chính sách của Đảng và Nhà nước</w:t>
            </w:r>
          </w:p>
        </w:tc>
        <w:tc>
          <w:p/>
          <w:p>
            <w:pPr>
              <w:spacing w:after="0" w:before="0" w:lineRule="auto" w:line="276"/>
              <w:jc w:val="left"/>
            </w:pPr>
            <w:r>
              <w:rPr>
                <w:rFonts w:ascii="Times New Roman" w:hAnsi="Times New Roman" w:cs="Times New Roman" w:eastAsia="Times New Roman"/>
                <w:b w:val="false"/>
                <w:sz w:val="26"/>
              </w:rPr>
              <w:t>08-11-2005</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191/2005/TTLT/BQP-BLĐTBXH-BTC</w:t>
            </w:r>
          </w:p>
        </w:tc>
        <w:tc>
          <w:p/>
          <w:p>
            <w:pPr>
              <w:spacing w:after="0" w:before="0" w:lineRule="auto" w:line="276"/>
              <w:jc w:val="left"/>
            </w:pPr>
            <w:r>
              <w:rPr>
                <w:rFonts w:ascii="Times New Roman" w:hAnsi="Times New Roman" w:cs="Times New Roman" w:eastAsia="Times New Roman"/>
                <w:b w:val="false"/>
                <w:sz w:val="26"/>
              </w:rPr>
              <w:t>Hướng dẫn thực hiện Quyết định số 290/2005/QĐ-TTg ngày 08/11/2005 về chế độ, chính sách đối với một số đối tượng trực tiếp tham gia kháng chiến chống mỹ cứu nước nhưng chưa được hưởng chính sách của Đảng và Nhà nước</w:t>
            </w:r>
          </w:p>
        </w:tc>
        <w:tc>
          <w:p/>
          <w:p>
            <w:pPr>
              <w:spacing w:after="0" w:before="0" w:lineRule="auto" w:line="276"/>
              <w:jc w:val="left"/>
            </w:pPr>
            <w:r>
              <w:rPr>
                <w:rFonts w:ascii="Times New Roman" w:hAnsi="Times New Roman" w:cs="Times New Roman" w:eastAsia="Times New Roman"/>
                <w:b w:val="false"/>
                <w:sz w:val="26"/>
              </w:rPr>
              <w:t>07-12-2005</w:t>
            </w:r>
          </w:p>
        </w:tc>
        <w:tc>
          <w:p/>
          <w:p>
            <w:pPr>
              <w:spacing w:after="0" w:before="0" w:lineRule="auto" w:line="276"/>
              <w:jc w:val="left"/>
            </w:pPr>
            <w:r>
              <w:rPr>
                <w:rFonts w:ascii="Times New Roman" w:hAnsi="Times New Roman" w:cs="Times New Roman" w:eastAsia="Times New Roman"/>
                <w:b w:val="false"/>
                <w:sz w:val="26"/>
              </w:rPr>
              <w:t>Bộ Quốc phòng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Đối tượng áp dụng:
- Hạ sĩ quan, chiến sĩ quân đội nhân nhân tham gia chiến đấu, hoạt động ở các chiến trường B, C, K, sau đó trở thành người hưởng lương, từ ngày 30/4/1975 trở về trước, không có thân nhân chủ yếu (vợ hoặc chồng; bố đẻ, mẹ đẻ, bố nuôi, mẹ nuôi; con đẻ, con nuôi hợp pháp) phải trực tiếp nuôi dưỡng ở miền Bắc, cụ thể là: người được bổ nhiệm giữ chức vụ trung đội phó trở lên; người được đề bạt cấp bậc từ chuẩn úy hoặc trung đội phó trở lên;
- Hạ sĩ quan, chiến sĩ quân đội tham gia chiến đấu tại chiến trường B, C, K, nhưng có thân nhân chủ yếu (vợ hoặc chồng; con đẻ, con nuôi hợp pháp) phải trực tiếp nuôi dưỡng ở miền Bắc.
b, Tiết b, điểm 1 Điều 1 Quyết định số 290/2005/QĐ-TTg ngày 08-11-2005 của Thủ tướng Chính phủ; Tiết 1.1, khoản 1 Mục II Thông tư Liên tịch số 191/2005/TTLT-BQP-BLĐTBXH-BTC ngày 07/12/2005 của Bộ Quốc phòng, Bộ Lao động Thương binh và Xã hội, Bộ Tài chính hướng dẫn thực hiện Quyết định số 290/2005/QĐ-TTg của Thủ tướng Chính phủ về chế độ, chính sách đối với một số đối tượng trực tiếp tham gia kháng chiến chống Mỹ cứu nước nhưng chưa được hưởng chính sách của Đảng và Nhà nước.
2. Đối tượng không áp dụng:
- Những người đã hưởng chế độ một lần theo quy định tại Nghị định số 23/1999/NĐ-CP ngày 15/4/1999 của Thủ tướng Chính phủ về chế độ đối với quân nhân đi chiến trường B, C, K trong thời kỳ chống Mỹ cứu nước không có thân nhân phải trực tiếp nuôi dưỡng;
- Người đầu hàng địch, phản bội, đào ngũ, người vi phạm kỷ luật bị tước danh hiệu quân nhân; tính đến ngày Quyết định này có hiệu lực thi hành mà đang chấp hành án tù chung thân hoặc bị kết án về một trong các tội xâm phạm an ninh quốc gia mà chưa được xóa án tích;
- Người ra nước ngoài và ở lại nước ngoài bất hợp pháp;
- Đối tượng đã từ trần nhưng không còn vợ hoặc chồng; bố đẻ, mẹ đẻ; bố nuôi, mẹ nuôi; con đẻ, con nuôi.
Tiết b, điểm 2 Điều 1 Quyết định số 290/2005/QĐ-TTg  ngày 08-11-2005 của Thủ tướng Chính phủ; Tiết 1.2, khoản 1 Mục II Thông tư Liên tịch số 191/2005/TTLT-BQP-BLĐTBXH-BTC ngày 07/12/2005 của Bộ Quốc phòng, Bộ Lao động Thương binh và Xã hội, Bộ Tài chính hướng dẫn thực hiện Quyết định số 290/2005/QĐ-TTg của Thủ tướng Chính phủ về chế độ, chính sách đối với một số đối tượng trực tiếp tham gia kháng chiến chống Mỹ cứu nước nhưng chưa được hưởng chính sách của Đảng và Nhà nước.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2024-03-28T14:21:59Z</dcterms:created>
  <dc:creator>Apache POI</dc:creator>
</cp:coreProperties>
</file>