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1.002258.000.00.00.H18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1377/QĐ-UBND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Đánh giá đáp ứng Thực hành tốt phân phối thuốc, nguyên liệu làm thuốc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đề nghị cấp Giấy chứng nhận đủ điều kiện kinh doanh dược phạm vi phân phối thuốc gửi hồ sơ về Bộ phận Tiếp nhận và Trả kết quả thuộc Văn phòng Sở Y tế  tỉnh Điện Biên (Số 251C , Tổ dân phố 6, phường Noong Bua, thành phố Điện Biên Phủ, tỉnh Điện Biên).</w:t>
      </w:r>
    </w:p>
    <w:p>
      <w:pPr>
        <w:spacing w:after="0" w:before="0" w:lineRule="auto" w:line="276"/>
        <w:jc w:val="both"/>
      </w:pPr>
      <w:r>
        <w:rPr>
          <w:rFonts w:ascii="Times New Roman" w:hAnsi="Times New Roman" w:cs="Times New Roman" w:eastAsia="Times New Roman"/>
          <w:b w:val="false"/>
          <w:sz w:val="26"/>
        </w:rPr>
        <w:t>Bước 2: Sau khi nhận hồ sơ, Sở Y tế trả cho cơ sở đề nghị cấp Giấy chứng nhận đủ điều kiện kinh doanh dược Phiếu tiếp nhận hồ sơ theo Mẫu số 01 Phụ lục I ban hành kèm theo Nghị định số 54/2017/NĐ-CP;</w:t>
      </w:r>
    </w:p>
    <w:p>
      <w:pPr>
        <w:spacing w:after="0" w:before="0" w:lineRule="auto" w:line="276"/>
        <w:jc w:val="both"/>
      </w:pPr>
      <w:r>
        <w:rPr>
          <w:rFonts w:ascii="Times New Roman" w:hAnsi="Times New Roman" w:cs="Times New Roman" w:eastAsia="Times New Roman"/>
          <w:b w:val="false"/>
          <w:sz w:val="26"/>
        </w:rPr>
        <w:t>a)  Trường hợp không có yêu cầu sửa đổi, bổ sung hồ sơ, cơ quan cấp Giấy chứng nhận đủ điều kiện kinh doanh dược tổ chức đánh giá thực tế tại cơ sở đề nghị cấp Giấy chứng nhận đủ điều kiện kinh doanh dược trong thời hạn 20 ngày, kể từ ngày ghi trên Phiếu tiếp nhận hồ sơ.</w:t>
      </w:r>
    </w:p>
    <w:p>
      <w:pPr>
        <w:spacing w:after="0" w:before="0" w:lineRule="auto" w:line="276"/>
        <w:jc w:val="both"/>
      </w:pPr>
      <w:r>
        <w:rPr>
          <w:rFonts w:ascii="Times New Roman" w:hAnsi="Times New Roman" w:cs="Times New Roman" w:eastAsia="Times New Roman"/>
          <w:b w:val="false"/>
          <w:sz w:val="26"/>
        </w:rPr>
        <w:t>b) Trường hợp có yêu cầu sửa đổi, bổ sung hồ sơ, trong thời hạn 10 ngày làm việc, kể từ ngày ghi trên Phiếu tiếp nhận hồ sơ, cơ quan tiếp nhận hồ sơ có văn bản gửi cơ sở đề nghị, trong đó phải nêu cụ thể các tài liệu, nội dung cần sửa đổi, bổ sung.</w:t>
      </w:r>
    </w:p>
    <w:p>
      <w:pPr>
        <w:spacing w:after="0" w:before="0" w:lineRule="auto" w:line="276"/>
        <w:jc w:val="both"/>
      </w:pPr>
      <w:r>
        <w:rPr>
          <w:rFonts w:ascii="Times New Roman" w:hAnsi="Times New Roman" w:cs="Times New Roman" w:eastAsia="Times New Roman"/>
          <w:b w:val="false"/>
          <w:sz w:val="26"/>
        </w:rPr>
        <w:t>Bước 3: Sau khi cơ sở nộp hồ sơ sửa đổi, bổ sung, Sở Y tế trả cơ sở Phiếu tiếp nhận hồ sơ sửa đổi, bổ sung theo Mẫu số 01 tại Phụ lục I ban hành kèm theo Nghị định 54/2017/NĐ-CP.</w:t>
      </w:r>
    </w:p>
    <w:p>
      <w:pPr>
        <w:spacing w:after="0" w:before="0" w:lineRule="auto" w:line="276"/>
        <w:jc w:val="both"/>
      </w:pPr>
      <w:r>
        <w:rPr>
          <w:rFonts w:ascii="Times New Roman" w:hAnsi="Times New Roman" w:cs="Times New Roman" w:eastAsia="Times New Roman"/>
          <w:b w:val="false"/>
          <w:sz w:val="26"/>
        </w:rPr>
        <w:t>a) Trường hợp hồ sơ sửa đổi, bổ sung không đáp ứng yêu cầu, cơ quan tiếp nhận hồ sơ có văn bản thông báo cho cơ sở theo điểm b bước 2;</w:t>
      </w:r>
    </w:p>
    <w:p>
      <w:pPr>
        <w:spacing w:after="0" w:before="0" w:lineRule="auto" w:line="276"/>
        <w:jc w:val="both"/>
      </w:pPr>
      <w:r>
        <w:rPr>
          <w:rFonts w:ascii="Times New Roman" w:hAnsi="Times New Roman" w:cs="Times New Roman" w:eastAsia="Times New Roman"/>
          <w:b w:val="false"/>
          <w:sz w:val="26"/>
        </w:rPr>
        <w:t>b) Trường hợp không có yêu cầu sửa đổi, bổ sung đối với hồ sơ sửa đổi, bổ sung, cơ quan tiếp nhận hồ sơ thực hiện theo điểm a bước 2.</w:t>
      </w:r>
    </w:p>
    <w:p>
      <w:pPr>
        <w:spacing w:after="0" w:before="0" w:lineRule="auto" w:line="276"/>
        <w:jc w:val="both"/>
      </w:pPr>
      <w:r>
        <w:rPr>
          <w:rFonts w:ascii="Times New Roman" w:hAnsi="Times New Roman" w:cs="Times New Roman" w:eastAsia="Times New Roman"/>
          <w:b w:val="false"/>
          <w:sz w:val="26"/>
        </w:rPr>
        <w:t>Bước 4:Trong thời hạn 05 ngày, kể từ ngày nhận được hồ sơ hợp lệ, Sở Y tế thành lập Đoàn đánh giá, thông báo cho cơ sở phân phối thuốc về Đoàn đánh giá và dự kiến thời gian đánh giá thực tế tại cơ sở. Trong thời hạn 15 ngày, kể từ ngày có văn bản thông báo, Đoàn đánh giá tiến hành đánh giá thực tế tại cơ sở phân phối thuốc và lập biên bản đánh giá.</w:t>
      </w:r>
    </w:p>
    <w:p>
      <w:pPr>
        <w:spacing w:after="0" w:before="0" w:lineRule="auto" w:line="276"/>
        <w:jc w:val="both"/>
      </w:pPr>
      <w:r>
        <w:rPr>
          <w:rFonts w:ascii="Times New Roman" w:hAnsi="Times New Roman" w:cs="Times New Roman" w:eastAsia="Times New Roman"/>
          <w:b w:val="false"/>
          <w:sz w:val="26"/>
        </w:rPr>
        <w:t>Bước 5: Trường hợp biên bản đánh giá GDP kết luận cơ sở phân phối thuốc đáp ứng GDP theo quy định tại điểm a khoản 2 Điều 7 Thông tư 03/2018/TT-BYT:
Trong thời hạn 10 ngày, kể từ ngày kết thúc việc đánh giá thực tế tại cơ sở phân phối và ký biên bản đánh giá, Sở Y tế cấp Giấy chứng nhận đủ điều kiện kinh doanh dược hoặc cấp Giấy chứng nhận GDP theo Mẫu số 06 quy định tại Phụ lục IV kèm theo Thông tư 03/2018/TT-BYT.</w:t>
      </w:r>
    </w:p>
    <w:p>
      <w:pPr>
        <w:spacing w:after="0" w:before="0" w:lineRule="auto" w:line="276"/>
        <w:jc w:val="both"/>
      </w:pPr>
      <w:r>
        <w:rPr>
          <w:rFonts w:ascii="Times New Roman" w:hAnsi="Times New Roman" w:cs="Times New Roman" w:eastAsia="Times New Roman"/>
          <w:b w:val="false"/>
          <w:sz w:val="26"/>
        </w:rPr>
        <w:t>Trường hợp biên bản đánh giá GDP kết luận cơ sở phân phối tuân thủ GDP ở mức độ 2 theo quy định tại điểm b khoản 2 Điều 7 Thông tư 03/2018/TT-BYT:</w:t>
      </w:r>
    </w:p>
    <w:p>
      <w:pPr>
        <w:spacing w:after="0" w:before="0" w:lineRule="auto" w:line="276"/>
        <w:jc w:val="both"/>
      </w:pPr>
      <w:r>
        <w:rPr>
          <w:rFonts w:ascii="Times New Roman" w:hAnsi="Times New Roman" w:cs="Times New Roman" w:eastAsia="Times New Roman"/>
          <w:b w:val="false"/>
          <w:sz w:val="26"/>
        </w:rPr>
        <w:t>a) Trong thời hạn 05 ngày, kể từ ngày hoàn thành việc đánh giá thực tế tại cơ sở phân phối và ký biên bản đánh giá, Sở Y tế gửi văn bản yêu cầu cơ sở phân phối khắc phục, sửa chữa theo nội dung được ghi trong Biên bản đánh giá.</w:t>
      </w:r>
    </w:p>
    <w:p>
      <w:pPr>
        <w:spacing w:after="0" w:before="0" w:lineRule="auto" w:line="276"/>
        <w:jc w:val="both"/>
      </w:pPr>
      <w:r>
        <w:rPr>
          <w:rFonts w:ascii="Times New Roman" w:hAnsi="Times New Roman" w:cs="Times New Roman" w:eastAsia="Times New Roman"/>
          <w:b w:val="false"/>
          <w:sz w:val="26"/>
        </w:rPr>
        <w:t>b) Sau khi hoàn thành việc khắc phục, sửa chữa, cơ sở phân phối phải có văn bản thông báo kèm theo các bằng chứng (hồ sơ tài liệu, hình ảnh, video, giấy chứng nhận) chứng minh đã hoàn thành việc khắc phục, sửa chữa tồn tại được ghi trong Biên bản đánh giá;</w:t>
      </w:r>
    </w:p>
    <w:p>
      <w:pPr>
        <w:spacing w:after="0" w:before="0" w:lineRule="auto" w:line="276"/>
        <w:jc w:val="both"/>
      </w:pPr>
      <w:r>
        <w:rPr>
          <w:rFonts w:ascii="Times New Roman" w:hAnsi="Times New Roman" w:cs="Times New Roman" w:eastAsia="Times New Roman"/>
          <w:b w:val="false"/>
          <w:sz w:val="26"/>
        </w:rPr>
        <w:t>c) Trong thời hạn 20 ngày, kể từ ngày nhận được báo cáo khắc phục, Sở Y tế đánh giá kết quả khắc phục của cơ sở phân phối và kết luận về tình trạng đáp ứng GDP của cơ sở phân phối:</w:t>
      </w:r>
    </w:p>
    <w:p>
      <w:pPr>
        <w:spacing w:after="0" w:before="0" w:lineRule="auto" w:line="276"/>
        <w:jc w:val="both"/>
      </w:pPr>
      <w:r>
        <w:rPr>
          <w:rFonts w:ascii="Times New Roman" w:hAnsi="Times New Roman" w:cs="Times New Roman" w:eastAsia="Times New Roman"/>
          <w:b w:val="false"/>
          <w:sz w:val="26"/>
        </w:rPr>
        <w:t>- Trường hợp việc khắc phục của cơ sở phân phối đã đáp ứng yêu cầu: Sở Y tế cấp Giấy chứng nhận đủ điều kiện kinh doanh dược hoặc thực hiện việc cấp Giấy chứng nhận GDP theo Mẫu số 06 quy định tại Phụ lục IV kèm theo Thông tư 03/2018/TT-BYT;</w:t>
      </w:r>
    </w:p>
    <w:p>
      <w:pPr>
        <w:spacing w:after="0" w:before="0" w:lineRule="auto" w:line="276"/>
        <w:jc w:val="both"/>
      </w:pPr>
      <w:r>
        <w:rPr>
          <w:rFonts w:ascii="Times New Roman" w:hAnsi="Times New Roman" w:cs="Times New Roman" w:eastAsia="Times New Roman"/>
          <w:b w:val="false"/>
          <w:sz w:val="26"/>
        </w:rPr>
        <w:t>- Trường hợp việc khắc phục của cơ sở phân phối chưa đáp ứng yêu cầu, Sở Y tế có văn bản trả lời lý do chưa cấp.</w:t>
      </w:r>
    </w:p>
    <w:p>
      <w:pPr>
        <w:spacing w:after="0" w:before="0" w:lineRule="auto" w:line="276"/>
        <w:jc w:val="both"/>
      </w:pPr>
      <w:r>
        <w:rPr>
          <w:rFonts w:ascii="Times New Roman" w:hAnsi="Times New Roman" w:cs="Times New Roman" w:eastAsia="Times New Roman"/>
          <w:b w:val="false"/>
          <w:sz w:val="26"/>
        </w:rPr>
        <w:t>d) Trong thời hạn 06 tháng, kể từ ngày Sở Y tế có văn bản yêu cầu sửa đổi, bổ sung, cơ sở phân phối phải nộp hồ sơ sửa đổi, bổ sung theo yêu cầu. Sau thời hạn trên, cơ sở phân phối không sửa đổi, bổ sung hoặc sau 12 tháng kể từ ngày nộp hồ sơ đề nghị lần đầu mà hồ sơ bổ sung không đáp ứng yêu cầu thì hồ sơ đã nộp không còn giá trị.</w:t>
      </w:r>
    </w:p>
    <w:p>
      <w:pPr>
        <w:spacing w:after="0" w:before="0" w:lineRule="auto" w:line="276"/>
        <w:jc w:val="both"/>
      </w:pPr>
      <w:r>
        <w:rPr>
          <w:rFonts w:ascii="Times New Roman" w:hAnsi="Times New Roman" w:cs="Times New Roman" w:eastAsia="Times New Roman"/>
          <w:b w:val="false"/>
          <w:sz w:val="26"/>
        </w:rPr>
        <w:t>Trường hợp biên bản đánh giá GDP kết luận cơ sở phân phối tuân thủ GDP ở mức độ 3 theo quy định tại điểm c khoản 2 Điều 7 Thông tư 03/2018/TT-BYT:
Trong thời hạn 05 ngày, kể từ ngày hoàn thành việc đánh giá thực tế tại cơ sở phân phối và ký biên bản đánh giá, Sở Y tế ban hành văn bản thông báo cho cơ sở phân phối về việc không đáp ứng GDP và chưa cấp Giấy chứng nhận.</w:t>
      </w:r>
    </w:p>
    <w:p>
      <w:pPr>
        <w:spacing w:after="0" w:before="0" w:lineRule="auto" w:line="276"/>
        <w:jc w:val="both"/>
      </w:pPr>
      <w:r>
        <w:rPr>
          <w:rFonts w:ascii="Times New Roman" w:hAnsi="Times New Roman" w:cs="Times New Roman" w:eastAsia="Times New Roman"/>
          <w:b w:val="false"/>
          <w:sz w:val="26"/>
        </w:rPr>
        <w:t>Bước 6: Trong thời hạn 05 ngày, kể từ ngày cấp Giấy chứng nhận đủ điều kiện kinh doanh dược hoặc Giấy chứng nhận GDP, Sở Y tế công bố trên Trang thông tin điện tử của Sở các thông tin sau đây:</w:t>
      </w:r>
    </w:p>
    <w:p>
      <w:pPr>
        <w:spacing w:after="0" w:before="0" w:lineRule="auto" w:line="276"/>
        <w:jc w:val="both"/>
      </w:pPr>
      <w:r>
        <w:rPr>
          <w:rFonts w:ascii="Times New Roman" w:hAnsi="Times New Roman" w:cs="Times New Roman" w:eastAsia="Times New Roman"/>
          <w:b w:val="false"/>
          <w:sz w:val="26"/>
        </w:rPr>
        <w:t>a) Tên và địa chỉ cơ sở phân phối thuốc;</w:t>
      </w:r>
    </w:p>
    <w:p>
      <w:pPr>
        <w:spacing w:after="0" w:before="0" w:lineRule="auto" w:line="276"/>
        <w:jc w:val="both"/>
      </w:pPr>
      <w:r>
        <w:rPr>
          <w:rFonts w:ascii="Times New Roman" w:hAnsi="Times New Roman" w:cs="Times New Roman" w:eastAsia="Times New Roman"/>
          <w:b w:val="false"/>
          <w:sz w:val="26"/>
        </w:rPr>
        <w:t>b) Họ tên người chịu trách nhiệm chuyên môn về dược, số Chứng chỉ hành nghề dược;</w:t>
      </w:r>
    </w:p>
    <w:p>
      <w:pPr>
        <w:spacing w:after="0" w:before="0" w:lineRule="auto" w:line="276"/>
        <w:jc w:val="both"/>
      </w:pPr>
      <w:r>
        <w:rPr>
          <w:rFonts w:ascii="Times New Roman" w:hAnsi="Times New Roman" w:cs="Times New Roman" w:eastAsia="Times New Roman"/>
          <w:b w:val="false"/>
          <w:sz w:val="26"/>
        </w:rPr>
        <w:t>c) Số Giấy chứng nhận đủ điều kiện kinh doanh vàGiấy chứng nhận GDP (nếu có);</w:t>
      </w:r>
    </w:p>
    <w:p>
      <w:pPr>
        <w:spacing w:after="0" w:before="0" w:lineRule="auto" w:line="276"/>
        <w:jc w:val="both"/>
      </w:pPr>
      <w:r>
        <w:rPr>
          <w:rFonts w:ascii="Times New Roman" w:hAnsi="Times New Roman" w:cs="Times New Roman" w:eastAsia="Times New Roman"/>
          <w:b w:val="false"/>
          <w:sz w:val="26"/>
        </w:rPr>
        <w:t>d) Thời hạn hết hiệu lực của việc kiểm tra đáp ứng GDP;</w:t>
      </w:r>
    </w:p>
    <w:p>
      <w:pPr>
        <w:spacing w:after="0" w:before="0" w:lineRule="auto" w:line="276"/>
        <w:jc w:val="both"/>
      </w:pPr>
      <w:r>
        <w:rPr>
          <w:rFonts w:ascii="Times New Roman" w:hAnsi="Times New Roman" w:cs="Times New Roman" w:eastAsia="Times New Roman"/>
          <w:b w:val="false"/>
          <w:sz w:val="26"/>
        </w:rPr>
        <w:t>đ) Phạm vi hoạt động của cơ sở phân phối thuốc.</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 xml:space="preserve">Phí :  </w:t>
              <w:t xml:space="preserve"> (Phí thẩm định, điều kiện tiêu chuẩn phân phối thuốc GDP: 4.000.000 VNĐ/cơ sở)</w:t>
            </w:r>
          </w:p>
        </w:tc>
        <w:tc>
          <w:p/>
          <w:p>
            <w:pPr>
              <w:spacing w:after="0" w:before="0" w:lineRule="auto" w:line="276"/>
              <w:jc w:val="left"/>
            </w:pPr>
            <w:r>
              <w:rPr>
                <w:rFonts w:ascii="Times New Roman" w:hAnsi="Times New Roman" w:cs="Times New Roman" w:eastAsia="Times New Roman"/>
                <w:b w:val="false"/>
                <w:sz w:val="26"/>
              </w:rPr>
              <w:t>30 ngày kể từ ngày nhận được hồ sơ đầy đủ,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 xml:space="preserve">Phí :  </w:t>
              <w:t xml:space="preserve"> (Phí thẩm định, điều kiện tiêu chuẩn phân phối thuốc GDP: 4.000.000 VNĐ/cơ sở)</w:t>
            </w:r>
          </w:p>
        </w:tc>
        <w:tc>
          <w:p/>
          <w:p>
            <w:pPr>
              <w:spacing w:after="0" w:before="0" w:lineRule="auto" w:line="276"/>
              <w:jc w:val="left"/>
            </w:pPr>
            <w:r>
              <w:rPr>
                <w:rFonts w:ascii="Times New Roman" w:hAnsi="Times New Roman" w:cs="Times New Roman" w:eastAsia="Times New Roman"/>
                <w:b w:val="false"/>
                <w:sz w:val="26"/>
              </w:rPr>
              <w:t>30 ngày kể từ ngày nhận được hồ sơ đầy đủ,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t xml:space="preserve">Phí :  </w:t>
              <w:t xml:space="preserve"> (Phí thẩm định, điều kiện tiêu chuẩn phân phối thuốc GDP: 4.000.000 VNĐ/cơ sở)</w:t>
            </w:r>
          </w:p>
        </w:tc>
        <w:tc>
          <w:p/>
          <w:p>
            <w:pPr>
              <w:spacing w:after="0" w:before="0" w:lineRule="auto" w:line="276"/>
              <w:jc w:val="left"/>
            </w:pPr>
            <w:r>
              <w:rPr>
                <w:rFonts w:ascii="Times New Roman" w:hAnsi="Times New Roman" w:cs="Times New Roman" w:eastAsia="Times New Roman"/>
                <w:b w:val="false"/>
                <w:sz w:val="26"/>
              </w:rPr>
              <w:t>30 ngày kể từ ngày nhận được hồ sơ đầy đủ,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cấp Giấy chứng nhận đủ điều kiện kinh doanh dược theo Mẫu số 19 Phụ lục I của Nghị định số 54/2017/NĐ-CP;</w:t>
            </w:r>
          </w:p>
        </w:tc>
        <w:tc>
          <w:p/>
          <w:p>
            <w:pPr>
              <w:spacing w:after="0" w:before="0" w:lineRule="auto" w:line="276"/>
              <w:jc w:val="left"/>
            </w:pPr>
            <w:r>
              <w:rPr>
                <w:rFonts w:ascii="Times New Roman" w:hAnsi="Times New Roman" w:cs="Times New Roman" w:eastAsia="Times New Roman"/>
                <w:b w:val="false"/>
                <w:sz w:val="26"/>
              </w:rPr>
              <w:t>mẫu đơn(4).docx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có chứng thực Giấy chứng nhận đăng ký doanh nghiệp hoặc tài liệu pháp lý chứng minh việc thành lập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có chứng thực Chứng chỉ hành nghề dược.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Tài liệu kỹ thuật bao gồm Giấy chứng nhận đủ điều kiện kinh doanh dược hoặc Giấy chứng nhận Thực hành tốt tại địa điểm kinh doanh (nếu có) và các tài liệu kỹ thuật về địa Điểm, khu vực bảo quản, trang thiết bị bảo quản, tài liệu chuyên môn kỹ thuật và nhân sự đáp ứng Thực hành tốt phân phối thuốc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Y tế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Y tế  tỉnh Điện Biên (Số 251C , Tổ dân phố 6, phường Noong Bua, thành phố Điện Biên Phủ,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Thực hành tốt phân phối thuốc GDP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03/2018/TT-BYT</w:t>
            </w:r>
          </w:p>
        </w:tc>
        <w:tc>
          <w:p/>
          <w:p>
            <w:pPr>
              <w:spacing w:after="0" w:before="0" w:lineRule="auto" w:line="276"/>
              <w:jc w:val="left"/>
            </w:pPr>
            <w:r>
              <w:rPr>
                <w:rFonts w:ascii="Times New Roman" w:hAnsi="Times New Roman" w:cs="Times New Roman" w:eastAsia="Times New Roman"/>
                <w:b w:val="false"/>
                <w:sz w:val="26"/>
              </w:rPr>
              <w:t>Thông tư 03/2018/TT-BYT Quy định về Thực hành tốt phân phối thuốc, nguyên liệu làm thuốc</w:t>
            </w:r>
          </w:p>
        </w:tc>
        <w:tc>
          <w:p/>
          <w:p>
            <w:pPr>
              <w:spacing w:after="0" w:before="0" w:lineRule="auto" w:line="276"/>
              <w:jc w:val="left"/>
            </w:pPr>
            <w:r>
              <w:rPr>
                <w:rFonts w:ascii="Times New Roman" w:hAnsi="Times New Roman" w:cs="Times New Roman" w:eastAsia="Times New Roman"/>
                <w:b w:val="false"/>
                <w:sz w:val="26"/>
              </w:rPr>
              <w:t>09-02-2018</w:t>
            </w:r>
          </w:p>
        </w:tc>
        <w:tc>
          <w:p/>
          <w:p>
            <w:pPr>
              <w:spacing w:after="0" w:before="0" w:lineRule="auto" w:line="276"/>
              <w:jc w:val="left"/>
            </w:pPr>
            <w:r>
              <w:rPr>
                <w:rFonts w:ascii="Times New Roman" w:hAnsi="Times New Roman" w:cs="Times New Roman" w:eastAsia="Times New Roman"/>
                <w:b w:val="false"/>
                <w:sz w:val="26"/>
              </w:rPr>
              <w:t>Bộ Y tế</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 Dược</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41/2023/TT-BTC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trong lĩnh vực dược, mỹ phẩm</w:t>
            </w:r>
          </w:p>
        </w:tc>
        <w:tc>
          <w:p/>
          <w:p>
            <w:pPr>
              <w:spacing w:after="0" w:before="0" w:lineRule="auto" w:line="276"/>
              <w:jc w:val="left"/>
            </w:pPr>
            <w:r>
              <w:rPr>
                <w:rFonts w:ascii="Times New Roman" w:hAnsi="Times New Roman" w:cs="Times New Roman" w:eastAsia="Times New Roman"/>
                <w:b w:val="false"/>
                <w:sz w:val="26"/>
              </w:rPr>
              <w:t>12-06-2023</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33. Điều kiện cấp Giấy chứng nhận đủ Điều kiện kinh doanh dược
1. Điều kiện về cơ sở vật chất, kỹ thuật và nhân sự được quy định như sau:
d) Cơ sở phân phối thuốc phải có địa Điểm, khu vực bảo quản, trang thiết bị bảo quản, tài liệu chuyên môn kỹ thuật và nhân sự đáp ứng Thực hành tốt cơ sở phân phối thuốc; đối với cơ sở chuyên phân phối dược liệu, thuốc dược liệu, thuốc cổ truyền thực hiện theo quy định tại Điểm b Khoản 2 Điều 69 của Luật này;</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2024-03-28T19:01:51Z</dcterms:created>
  <dc:creator>Apache POI</dc:creator>
</cp:coreProperties>
</file>