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1.002330.000.00.00.H56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1764/QĐ-UBND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Phê duyệt kết quả đánh giá hồ sơ quan tâm, hồ sơ dự sơ tuyển, hồ sơ đề xuất, hồ sơ dự thầu và kết quả lựa chọn nhà thầu</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Cơ quan khác</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Quản lý xây dựng công trình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Tiếp nhận hồ sơ:
Bên mời thầu (Ban quản lý dự án của Chủ đầu tư hoặc tổ chức tư vấn do chủ đầu tư thuê) trình Chủ đầu tư xem xét, thẩm định kết quả đánh giá hồ sơ quan tâm (HSQT), hồ sơ dự sơ tuyển (HSDST), hồ sơ dự thầu (HSDT), danh sách nhà thầu đạt yêu cầu về kỹ thuật và phê duyệt kết quả lựa chọn nhà thầu.</w:t>
      </w:r>
    </w:p>
    <w:p>
      <w:pPr>
        <w:spacing w:after="0" w:before="0" w:lineRule="auto" w:line="276"/>
        <w:jc w:val="both"/>
      </w:pPr>
      <w:r>
        <w:rPr>
          <w:rFonts w:ascii="Times New Roman" w:hAnsi="Times New Roman" w:cs="Times New Roman" w:eastAsia="Times New Roman"/>
          <w:b w:val="false"/>
          <w:sz w:val="26"/>
        </w:rPr>
        <w:t>Thẩm định hồ sơ:
Chủ đầu tư giao một tổ chức, cá nhân thuộc cơ quan mình hoặc lựa chọn một tổ chức tư vấn có đủ năng lực thực hiện thẩm định:
- Đánh giá HSQT, HSDST trong thời gian không quá 20 ngày kể từ đóng thầu đối với đấu thầu trong nước, không quá 30 ngày kể từ đóng thầu đối với đấu thầu quốc tế.
- Đánh giá HSĐX trong thời gian không quá 30 ngày kể từ đóng thầu đối với đấu thầu trong nước, không quá 40 ngày kể từ đóng thầu đối với đấu thầu quốc tế.
- Đánh giá HSDT trong thời gian không quá 45 ngày kể từ đóng thầu đối với đấu thầu trong nước, không quá 60 ngày kể từ đóng thầu đối với đấu thầu quốc tế. 
Đơn vị thẩm định lập cáo cáo thẩm định và dự thảo quyết định phê duyệt các hồ sơ trên trình chủ đầu tư phê duyệt.</w:t>
      </w:r>
    </w:p>
    <w:p>
      <w:pPr>
        <w:spacing w:after="0" w:before="0" w:lineRule="auto" w:line="276"/>
        <w:jc w:val="both"/>
      </w:pPr>
      <w:r>
        <w:rPr>
          <w:rFonts w:ascii="Times New Roman" w:hAnsi="Times New Roman" w:cs="Times New Roman" w:eastAsia="Times New Roman"/>
          <w:b w:val="false"/>
          <w:sz w:val="26"/>
        </w:rPr>
        <w:t>Phê duyệt:
Trong thời hạn không quá 10 kể từ ngày nhận được tờ trình đề nghị phê duyệt, chủ đầu tư phê duyệt các hồ sơ trên.</w:t>
      </w:r>
    </w:p>
    <w:p>
      <w:pPr>
        <w:spacing w:after="0" w:before="0" w:lineRule="auto" w:line="276"/>
        <w:jc w:val="both"/>
      </w:pPr>
      <w:r>
        <w:rPr>
          <w:rFonts w:ascii="Times New Roman" w:hAnsi="Times New Roman" w:cs="Times New Roman" w:eastAsia="Times New Roman"/>
          <w:b w:val="false"/>
          <w:sz w:val="26"/>
        </w:rPr>
        <w:t>Trả kết quả: Bằng hình thức trả trực tiếp hoặc gửi theo đường bưu điện.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 Kết quả đánh giá HSQT, HSDST trong thời gian không quá 30 ngày kể từ đóng thầu đối với đấu thầu trong nước, không quá 40 ngày kể từ đóng thầu đối với đấu thầu quốc tế. - Kết quả đánh giá HSĐX trong thời gian không quá 40 ngày kể từ đóng thầu đối với đấu thầu trong nước, không quá 50 ngày kể từ đóng thầu đối với đấu thầu quốc tế. - Kết quả đánh giá HSDT trong thời gian không quá 55 ngày kể từ đóng thầu đối với đấu thầu trong nước, không quá 70 ngày kể từ đóng thầu đối với đấu thầu quốc tế. </w:t>
            </w:r>
          </w:p>
        </w:tc>
        <w:tc>
          <w:p/>
          <w:p>
            <w:pPr>
              <w:spacing w:after="0" w:before="0" w:lineRule="auto" w:line="276"/>
              <w:jc w:val="left"/>
            </w:pPr>
            <w:r>
              <w:rPr>
                <w:rFonts w:ascii="Times New Roman" w:hAnsi="Times New Roman" w:cs="Times New Roman" w:eastAsia="Times New Roman"/>
                <w:b w:val="false"/>
                <w:sz w:val="26"/>
              </w:rPr>
              <w:t>Phí :  Đồng</w:t>
              <w:t xml:space="preserve"> (- Chi phí đánh giá HSQT, HSDST bằng 0,05% giá gói thầu nhưng tối thiểu là 1.000.000 đồng và tối đa 30.000.000 đồng.)</w:t>
            </w:r>
          </w:p>
          <w:p>
            <w:pPr>
              <w:spacing w:after="0" w:before="0" w:lineRule="auto" w:line="276"/>
              <w:jc w:val="left"/>
            </w:pPr>
            <w:r>
              <w:rPr>
                <w:rFonts w:ascii="Times New Roman" w:hAnsi="Times New Roman" w:cs="Times New Roman" w:eastAsia="Times New Roman"/>
                <w:b w:val="false"/>
                <w:sz w:val="26"/>
              </w:rPr>
              <w:t>Phí :  Đồng</w:t>
              <w:t xml:space="preserve"> (- Chi phí đánh giá HSDT, HSĐX bằng 0,1% giá gói thầu nhưng tối thiểu 1.000.000 đồng và tối đa 50.000.000 đồng.)</w:t>
            </w:r>
          </w:p>
          <w:p>
            <w:pPr>
              <w:spacing w:after="0" w:before="0" w:lineRule="auto" w:line="276"/>
              <w:jc w:val="left"/>
            </w:pPr>
            <w:r>
              <w:rPr>
                <w:rFonts w:ascii="Times New Roman" w:hAnsi="Times New Roman" w:cs="Times New Roman" w:eastAsia="Times New Roman"/>
                <w:b w:val="false"/>
                <w:sz w:val="26"/>
              </w:rPr>
              <w:t>Phí :  Đồng</w:t>
              <w:t xml:space="preserve"> (- Chi phí thẩm định kết quả lựa chọn nhà thầu kể cả trường hợp không lựa chọn được nhà thầu tính bằng 0,05% giá gói thầu nhưng tối thiểu 1.000.000 đồng và tối đa 50.000.000 đồng.)</w:t>
            </w:r>
          </w:p>
        </w:tc>
        <w:tc>
          <w:p/>
          <w:p>
            <w:pPr>
              <w:spacing w:after="0" w:before="0" w:lineRule="auto" w:line="276"/>
              <w:jc w:val="left"/>
            </w:pPr>
            <w:r>
              <w:rPr>
                <w:rFonts w:ascii="Times New Roman" w:hAnsi="Times New Roman" w:cs="Times New Roman" w:eastAsia="Times New Roman"/>
                <w:b w:val="false"/>
                <w:sz w:val="26"/>
              </w:rPr>
              <w:t>- Kết quả đánh giá HSQT, HSDST trong thời gian không quá 30 ngày kể từ đóng thầu đối với đấu thầu trong nước, không quá 40 ngày kể từ đóng thầu đối với đấu thầu quốc tế.
- Kết quả đánh giá HSĐX trong thời gian không quá 40 ngày kể từ đóng thầu đối với đấu thầu trong nước, không quá 50 ngày kể từ đóng thầu đối với đấu thầu quốc tế.
- Kết quả đánh giá HSDT trong thời gian không quá 55 ngày kể từ đóng thầu đối với đấu thầu trong nước, không quá 70 ngày kể từ đóng thầu đối với đấu thầu quốc tế.
</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 Kết quả đánh giá HSQT, HSDST trong thời gian không quá 30 ngày kể từ đóng thầu đối với đấu thầu trong nước, không quá 40 ngày kể từ đóng thầu đối với đấu thầu quốc tế. - Kết quả đánh giá HSĐX trong thời gian không quá 40 ngày kể từ đóng thầu đối với đấu thầu trong nước, không quá 50 ngày kể từ đóng thầu đối với đấu thầu quốc tế. - Kết quả đánh giá HSDT trong thời gian không quá 55 ngày kể từ đóng thầu đối với đấu thầu trong nước, không quá 70 ngày kể từ đóng thầu đối với đấu thầu quốc tế. </w:t>
            </w:r>
          </w:p>
        </w:tc>
        <w:tc>
          <w:p/>
          <w:p>
            <w:pPr>
              <w:spacing w:after="0" w:before="0" w:lineRule="auto" w:line="276"/>
              <w:jc w:val="left"/>
            </w:pPr>
            <w:r>
              <w:rPr>
                <w:rFonts w:ascii="Times New Roman" w:hAnsi="Times New Roman" w:cs="Times New Roman" w:eastAsia="Times New Roman"/>
                <w:b w:val="false"/>
                <w:sz w:val="26"/>
              </w:rPr>
              <w:t>Phí :  Đồng</w:t>
              <w:t xml:space="preserve"> (- Chi phí đánh giá HSQT, HSDST bằng 0,05% giá gói thầu nhưng tối thiểu là 1.000.000 đồng và tối đa 30.000.000 đồng.)</w:t>
            </w:r>
          </w:p>
          <w:p>
            <w:pPr>
              <w:spacing w:after="0" w:before="0" w:lineRule="auto" w:line="276"/>
              <w:jc w:val="left"/>
            </w:pPr>
            <w:r>
              <w:rPr>
                <w:rFonts w:ascii="Times New Roman" w:hAnsi="Times New Roman" w:cs="Times New Roman" w:eastAsia="Times New Roman"/>
                <w:b w:val="false"/>
                <w:sz w:val="26"/>
              </w:rPr>
              <w:t>Phí :  Đồng</w:t>
              <w:t xml:space="preserve"> (- Chi phí đánh giá HSDT, HSĐX bằng 0,1% giá gói thầu nhưng tối thiểu 1.000.000 đồng và tối đa 50.000.000 đồng.)</w:t>
            </w:r>
          </w:p>
          <w:p>
            <w:pPr>
              <w:spacing w:after="0" w:before="0" w:lineRule="auto" w:line="276"/>
              <w:jc w:val="left"/>
            </w:pPr>
            <w:r>
              <w:rPr>
                <w:rFonts w:ascii="Times New Roman" w:hAnsi="Times New Roman" w:cs="Times New Roman" w:eastAsia="Times New Roman"/>
                <w:b w:val="false"/>
                <w:sz w:val="26"/>
              </w:rPr>
              <w:t>Phí :  Đồng</w:t>
              <w:t xml:space="preserve"> (- Chi phí thẩm định kết quả lựa chọn nhà thầu kể cả trường hợp không lựa chọn được nhà thầu tính bằng 0,05% giá gói thầu nhưng tối thiểu 1.000.000 đồng và tối đa 50.000.000 đồng.)</w:t>
            </w:r>
          </w:p>
        </w:tc>
        <w:tc>
          <w:p/>
          <w:p>
            <w:pPr>
              <w:spacing w:after="0" w:before="0" w:lineRule="auto" w:line="276"/>
              <w:jc w:val="left"/>
            </w:pPr>
            <w:r>
              <w:rPr>
                <w:rFonts w:ascii="Times New Roman" w:hAnsi="Times New Roman" w:cs="Times New Roman" w:eastAsia="Times New Roman"/>
                <w:b w:val="false"/>
                <w:sz w:val="26"/>
              </w:rPr>
              <w:t>- Kết quả đánh giá HSQT, HSDST trong thời gian không quá 30 ngày kể từ đóng thầu đối với đấu thầu trong nước, không quá 40 ngày kể từ đóng thầu đối với đấu thầu quốc tế.
- Kết quả đánh giá HSĐX trong thời gian không quá 40 ngày kể từ đóng thầu đối với đấu thầu trong nước, không quá 50 ngày kể từ đóng thầu đối với đấu thầu quốc tế.
- Kết quả đánh giá HSDT trong thời gian không quá 55 ngày kể từ đóng thầu đối với đấu thầu trong nước, không quá 70 ngày kể từ đóng thầu đối với đấu thầu quốc tế.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Thẩm định danh sách nhà thầu đáp ứng yêu cầu kỹ thuật</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xin phê duyệt danh sách nhà thầu đáp ứng yêu cầu kỹ thuật của bên mời thầu trong đó phải nêu rõ ý kiến của bên mời thầu đối với các kiến nghị, đề xuất của tổ chuyên gia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kết quả đánh giá hồ sơ đề xuất về kỹ thuật của tổ chuyên gia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chụp các hồ sơ tài liệu: HSMT, hồ sơ yêu cầu (HSYC), biên bản đóng thầu, mở thầu, hồ sơ đề xuất kỹ thuật của các nhà thầu và các tài liệu có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Thẩm định kết quả lựa chọn nhà thầu</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xin phê duyệt kết quả lựa chọn nhà thầu của bên mời thầu trong đó phải nêu rõ ý kiến của bên mời thầu đối với các kiến nghị, đề xuất của tổ chuyên gia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đánh giá HSDT, hồ sơ đề xuất (HSĐX) của tổ chuyên gia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thương thảo hợp đồng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Bản chụp các hồ sơ, tài liệu: HSMT, HSYC, biên bản đóng thầu, mở thầu, HSDT, HSĐX của các nhà thầu và các tài liệu liên quan khác; trường hợp đã tiến hành thẩm định danh sách nhà thầu đáp ứng yêu cầu kỹ thuật thì chỉ gửi biên bản mở HSĐX về tài chính và bản chụp HSĐX về tài chính của các nhà thầu đáp ứng yêu cầu kỹ thuật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bl>
    <w:p>
      <w:pPr>
        <w:shd w:val="clear" w:color="auto" w:fill="F2F6F9"/>
        <w:spacing w:after="0" w:before="120" w:lineRule="auto" w:line="276"/>
        <w:jc w:val="both"/>
      </w:pPr>
      <w:r>
        <w:rPr>
          <w:rFonts w:ascii="Times New Roman" w:hAnsi="Times New Roman" w:cs="Times New Roman" w:eastAsia="Times New Roman"/>
          <w:b w:val="true"/>
          <w:sz w:val="26"/>
        </w:rPr>
        <w:t>Thẩm định kết quả đánh giá HSQT, HSDST</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xin phê duyệt kết quả đánh giá HSQT, HSDST của bên mời thầu trong đó phải nêu rõ ý kiến của bên mời thầu đối với các kiến nghị, đề xuất của tổ chuyên gia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kết quả đánh giá HSQT, HSDST của tổ chuyên gia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chụp các hồ sơ tài liệu: HSMQT, HSMST, biên bản đóng thầu, mở thầu, HSQT, HSDST của các nhà thầu và các tài liệu có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Chủ đầu tư</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Trụ sở cơ quan/Văn phòng của Chủ đầu tư</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phê duyệt kết quả đánh giá HSQT, HSDST, HSĐX, HSDT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43/2013/QH13</w:t>
            </w:r>
          </w:p>
        </w:tc>
        <w:tc>
          <w:p/>
          <w:p>
            <w:pPr>
              <w:spacing w:after="0" w:before="0" w:lineRule="auto" w:line="276"/>
              <w:jc w:val="left"/>
            </w:pPr>
            <w:r>
              <w:rPr>
                <w:rFonts w:ascii="Times New Roman" w:hAnsi="Times New Roman" w:cs="Times New Roman" w:eastAsia="Times New Roman"/>
                <w:b w:val="false"/>
                <w:sz w:val="26"/>
              </w:rPr>
              <w:t>Luật 43/2013/QH13</w:t>
            </w:r>
          </w:p>
        </w:tc>
        <w:tc>
          <w:p/>
          <w:p>
            <w:pPr>
              <w:spacing w:after="0" w:before="0" w:lineRule="auto" w:line="276"/>
              <w:jc w:val="left"/>
            </w:pPr>
            <w:r>
              <w:rPr>
                <w:rFonts w:ascii="Times New Roman" w:hAnsi="Times New Roman" w:cs="Times New Roman" w:eastAsia="Times New Roman"/>
                <w:b w:val="false"/>
                <w:sz w:val="26"/>
              </w:rPr>
              <w:t>26-11-2013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63/2014/NĐ-CP</w:t>
            </w:r>
          </w:p>
        </w:tc>
        <w:tc>
          <w:p/>
          <w:p>
            <w:pPr>
              <w:spacing w:after="0" w:before="0" w:lineRule="auto" w:line="276"/>
              <w:jc w:val="left"/>
            </w:pPr>
            <w:r>
              <w:rPr>
                <w:rFonts w:ascii="Times New Roman" w:hAnsi="Times New Roman" w:cs="Times New Roman" w:eastAsia="Times New Roman"/>
                <w:b w:val="false"/>
                <w:sz w:val="26"/>
              </w:rPr>
              <w:t>Nghị định 63/2014/NĐ-CP</w:t>
            </w:r>
          </w:p>
        </w:tc>
        <w:tc>
          <w:p/>
          <w:p>
            <w:pPr>
              <w:spacing w:after="0" w:before="0" w:lineRule="auto" w:line="276"/>
              <w:jc w:val="left"/>
            </w:pPr>
            <w:r>
              <w:rPr>
                <w:rFonts w:ascii="Times New Roman" w:hAnsi="Times New Roman" w:cs="Times New Roman" w:eastAsia="Times New Roman"/>
                <w:b w:val="false"/>
                <w:sz w:val="26"/>
              </w:rPr>
              <w:t>26-06-2014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39/2015/TT-BNNPTNT</w:t>
            </w:r>
          </w:p>
        </w:tc>
        <w:tc>
          <w:p/>
          <w:p>
            <w:pPr>
              <w:spacing w:after="0" w:before="0" w:lineRule="auto" w:line="276"/>
              <w:jc w:val="left"/>
            </w:pPr>
            <w:r>
              <w:rPr>
                <w:rFonts w:ascii="Times New Roman" w:hAnsi="Times New Roman" w:cs="Times New Roman" w:eastAsia="Times New Roman"/>
                <w:b w:val="false"/>
                <w:sz w:val="26"/>
              </w:rPr>
              <w:t>Thông tư 39/2015/TT-BNNPTNT</w:t>
            </w:r>
          </w:p>
        </w:tc>
        <w:tc>
          <w:p/>
          <w:p>
            <w:pPr>
              <w:spacing w:after="0" w:before="0" w:lineRule="auto" w:line="276"/>
              <w:jc w:val="left"/>
            </w:pPr>
            <w:r>
              <w:rPr>
                <w:rFonts w:ascii="Times New Roman" w:hAnsi="Times New Roman" w:cs="Times New Roman" w:eastAsia="Times New Roman"/>
                <w:b w:val="false"/>
                <w:sz w:val="26"/>
              </w:rPr>
              <w:t>20-10-2015</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2024-03-28T14:37:57Z</dcterms:created>
  <dc:creator>Apache POI</dc:creator>
</cp:coreProperties>
</file>