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1.002410.000.00.00.H32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2130/QĐ-UBND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hưởng chế độ ưu đãi người hoạt động kháng chiến bị nhiễm chất độc hóa học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 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1:Cá nhân viết bản khai (Mẫu HH1 Thông tư số 05)
Gửi bản khai kèm theo một trong các giấy tờ, tài liệu quy định tại Khoản 2, Khoản 3 Điều 27 hoặc Khoản 2, Khoản 3 Điều 28 của Thông tư 05 gửi Ủy ban nhân dân cấp xã.
Người đang phục vụ trong quân đội, công an do Bộ Quốc phòng, Bộ Công an hướng dẫn cụ thể</w:t>
      </w:r>
    </w:p>
    <w:p>
      <w:pPr>
        <w:spacing w:after="0" w:before="0" w:lineRule="auto" w:line="276"/>
        <w:jc w:val="both"/>
      </w:pPr>
      <w:r>
        <w:rPr>
          <w:rFonts w:ascii="Times New Roman" w:hAnsi="Times New Roman" w:cs="Times New Roman" w:eastAsia="Times New Roman"/>
          <w:b w:val="false"/>
          <w:sz w:val="26"/>
        </w:rPr>
        <w:t>Bước 2: Ủy ban nhân dân cấp xã trong thời gian 10 ngày kể từ ngày nhận được bản khai, có trách nhiệm xác nhận các yếu tố trong bản khai, lập danh sách đề nghị xác nhận người hoạt động kháng chiến bị nhiễm chất độc hóa học kèm giấy tờ quy định tại Điểm a Khoản 2 Điều 29 Thông tư số 05 gửi Phòng Lao động - Thương binh và Xã hội;
Phòng Lao động - Thương binh và Xã hội trong thời gian 10 ngày kể từ ngày nhận đủ các giấy tờ hợp lệ, có trách nhiệm kiểm tra, lập danh sách người đủ điều kiện kèm giấy tờ quy định tại Điểm b Khoản 2 Điều 29 Thông tư số 05 gửi Sở Lao động - Thương binh và Xã hội;
Sở Lao động - Thương binh và Xã hội trong thời gian 10 ngày, kể từ ngày nhận đủ hồ sơ hợp lệ, có trách nhiệm kiểm tra hồ sơ, giới thiệu (kèm bản sao hồ sơ) ra Hội đồng giám định y khoa cấp tỉnh.
Hội đồng giám định y khoa cấp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
Sở Y tế trong thời gian 10 ngày kể từ ngày tiếp nhận hồ sơ, có trách nhiệm cấp giấy chứng nhận bệnh tật do nhiễm chất độc hóa học; giấy chứng nhận dị dạng, dị tật do ảnh hưởng của chất độc hóa học và chuyển Sở Lao động - Thương binh và Xã hội kèm hồ sơ;
Sở Lao động - Thương binh và Xã hội trong thời gian 10 ngày kể từ ngày tiếp nhận đủ hồ sơ do Sở Y tế chuyển đến, có trách nhiệm ra quyết định trợ cấp, phụ cấp đối với những trường hợp đủ điều kiện.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50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khai (Mẫu HH1)</w:t>
            </w:r>
          </w:p>
        </w:tc>
        <w:tc>
          <w:p/>
          <w:p>
            <w:pPr>
              <w:spacing w:after="0" w:before="0" w:lineRule="auto" w:line="276"/>
              <w:jc w:val="left"/>
            </w:pPr>
            <w:r>
              <w:rPr>
                <w:rFonts w:ascii="Times New Roman" w:hAnsi="Times New Roman" w:cs="Times New Roman" w:eastAsia="Times New Roman"/>
                <w:b w:val="false"/>
                <w:sz w:val="26"/>
              </w:rPr>
              <w:t>Mẫu HH1.docx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  Bản sao: Lý lịch cán bộ, lý lịch đảng viên, lý lịch quân nhân, Huân chương, Huy chương chiến sĩ giải phóng.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bệnh án điều trị tại cơ sở y tế có thẩm quyền do Bộ Y tế quy định, trừ các trường hợp quy định tại Khoản 3, Điều 27, Thông tư 05)</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giám định bệnh tật của Hội đồng giám định y khoa có thẩm quyền kết luận bị mắc bệnh tật do nhiễm chất độc hóa học và xác định tỷ lệ suy giảm khả năng lao động do bệnh tật (Mẫu 2, Thông tư liên tịch số 41/2013/TTLT-BYT-BLĐTBXH)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bệnh tật do nhiễm chất độc hóa học (Mẫu 2, Thông tư liên tịch số 41/2013/TTLT-BYT-BLĐTBXH) của Giám đốc Sở Y tế.  Trường hợp người đang phục vụ trong quân đội, công an thì giấy chứng nhận bệnh tật do nhiễm chất độc hóa học do cơ quan y tế có thẩm quyền theo quy định của Bộ Quốc phòng, Bộ Công an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 tháng 01 năm 2000;</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xác nhận của cơ quan chức năng thuộc Bộ Quốc phòng về phiên hiệu, ký hiệu, thời gian và địa bàn hoạt động của đơn vị.</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Bộ Quốc phòng, Sở Lao động-Thương binh và Xã hội, Sở Y tế, Ủy ban Nhân dân xã, phường, thị trấn., 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về việc cấp giấy chứng nhận người HĐKC bị nhiễm CĐHH và trợ cấp, phụ cấp hàng tháng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05/2013/TT-BLĐTBXH</w:t>
            </w:r>
          </w:p>
        </w:tc>
        <w:tc>
          <w:p/>
          <w:p>
            <w:pPr>
              <w:spacing w:after="0" w:before="0" w:lineRule="auto" w:line="276"/>
              <w:jc w:val="left"/>
            </w:pPr>
            <w:r>
              <w:rPr>
                <w:rFonts w:ascii="Times New Roman" w:hAnsi="Times New Roman" w:cs="Times New Roman" w:eastAsia="Times New Roman"/>
                <w:b w:val="false"/>
                <w:sz w:val="26"/>
              </w:rPr>
              <w:t>Thông tư 05/2013/TT-BLĐTBXH - Hướng dẫn về thủ tục lập hồ sơ, quản lý hồ sơ, thực hiện chế độ ưu đãi người có công với cách mạng và thân nhân</w:t>
            </w:r>
          </w:p>
        </w:tc>
        <w:tc>
          <w:p/>
          <w:p>
            <w:pPr>
              <w:spacing w:after="0" w:before="0" w:lineRule="auto" w:line="276"/>
              <w:jc w:val="left"/>
            </w:pPr>
            <w:r>
              <w:rPr>
                <w:rFonts w:ascii="Times New Roman" w:hAnsi="Times New Roman" w:cs="Times New Roman" w:eastAsia="Times New Roman"/>
                <w:b w:val="false"/>
                <w:sz w:val="26"/>
              </w:rPr>
              <w:t>15-05-2013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04/2012/UBTVQH13</w:t>
            </w:r>
          </w:p>
        </w:tc>
        <w:tc>
          <w:p/>
          <w:p>
            <w:pPr>
              <w:spacing w:after="0" w:before="0" w:lineRule="auto" w:line="276"/>
              <w:jc w:val="left"/>
            </w:pPr>
            <w:r>
              <w:rPr>
                <w:rFonts w:ascii="Times New Roman" w:hAnsi="Times New Roman" w:cs="Times New Roman" w:eastAsia="Times New Roman"/>
                <w:b w:val="false"/>
                <w:sz w:val="26"/>
              </w:rPr>
              <w:t>Pháp lệnh 04/2012/UBTVQH13 - Sửa đổi, bổ sung một số điều của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16-07-2012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16/2014/TT-BLĐTBXH</w:t>
            </w:r>
          </w:p>
        </w:tc>
        <w:tc>
          <w:p/>
          <w:p>
            <w:pPr>
              <w:spacing w:after="0" w:before="0" w:lineRule="auto" w:line="276"/>
              <w:jc w:val="left"/>
            </w:pPr>
            <w:r>
              <w:rPr>
                <w:rFonts w:ascii="Times New Roman" w:hAnsi="Times New Roman" w:cs="Times New Roman" w:eastAsia="Times New Roman"/>
                <w:b w:val="false"/>
                <w:sz w:val="26"/>
              </w:rPr>
              <w:t>Thông tư 16/2014/TT-BLĐTBXH - Hướng dẫn một số nội dung xác nhận và thực hiệnchế độ ưu đãi người có công với cách mạng</w:t>
            </w:r>
          </w:p>
        </w:tc>
        <w:tc>
          <w:p/>
          <w:p>
            <w:pPr>
              <w:spacing w:after="0" w:before="0" w:lineRule="auto" w:line="276"/>
              <w:jc w:val="left"/>
            </w:pPr>
            <w:r>
              <w:rPr>
                <w:rFonts w:ascii="Times New Roman" w:hAnsi="Times New Roman" w:cs="Times New Roman" w:eastAsia="Times New Roman"/>
                <w:b w:val="false"/>
                <w:sz w:val="26"/>
              </w:rPr>
              <w:t>30-07-2014</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45/2014/TTLT-BYT-BLĐTBXH</w:t>
            </w:r>
          </w:p>
        </w:tc>
        <w:tc>
          <w:p/>
          <w:p>
            <w:pPr>
              <w:spacing w:after="0" w:before="0" w:lineRule="auto" w:line="276"/>
              <w:jc w:val="left"/>
            </w:pPr>
            <w:r>
              <w:rPr>
                <w:rFonts w:ascii="Times New Roman" w:hAnsi="Times New Roman" w:cs="Times New Roman" w:eastAsia="Times New Roman"/>
                <w:b w:val="false"/>
                <w:sz w:val="26"/>
              </w:rPr>
              <w:t>Thông tư liên tịch 45/2014/TTLT-BYT-BLĐTBXH-Hướng dẫn khám giám định thương tật đối với thương binh và người hưởng chính sách như thương binh</w:t>
            </w:r>
          </w:p>
        </w:tc>
        <w:tc>
          <w:p/>
          <w:p>
            <w:pPr>
              <w:spacing w:after="0" w:before="0" w:lineRule="auto" w:line="276"/>
              <w:jc w:val="left"/>
            </w:pPr>
            <w:r>
              <w:rPr>
                <w:rFonts w:ascii="Times New Roman" w:hAnsi="Times New Roman" w:cs="Times New Roman" w:eastAsia="Times New Roman"/>
                <w:b w:val="false"/>
                <w:sz w:val="26"/>
              </w:rPr>
              <w:t>25-11-2014</w:t>
            </w:r>
          </w:p>
        </w:tc>
        <w:tc>
          <w:p/>
          <w:p>
            <w:pPr>
              <w:spacing w:after="0" w:before="0" w:lineRule="auto" w:line="276"/>
              <w:jc w:val="left"/>
            </w:pPr>
            <w:r>
              <w:rPr>
                <w:rFonts w:ascii="Times New Roman" w:hAnsi="Times New Roman" w:cs="Times New Roman" w:eastAsia="Times New Roman"/>
                <w:b w:val="false"/>
                <w:sz w:val="26"/>
              </w:rPr>
              <w:t>Bộ Y tế</w:t>
            </w:r>
          </w:p>
        </w:tc>
      </w:tr>
      <w:tr>
        <w:tc>
          <w:p/>
          <w:p>
            <w:pPr>
              <w:spacing w:after="0" w:before="0" w:lineRule="auto" w:line="276"/>
              <w:jc w:val="left"/>
            </w:pPr>
            <w:r>
              <w:rPr>
                <w:rFonts w:ascii="Times New Roman" w:hAnsi="Times New Roman" w:cs="Times New Roman" w:eastAsia="Times New Roman"/>
                <w:b w:val="false"/>
                <w:sz w:val="26"/>
              </w:rPr>
              <w:t>41/2013/TTLT-BYT-BLĐTBXH</w:t>
            </w:r>
          </w:p>
        </w:tc>
        <w:tc>
          <w:p/>
          <w:p>
            <w:pPr>
              <w:spacing w:after="0" w:before="0" w:lineRule="auto" w:line="276"/>
              <w:jc w:val="left"/>
            </w:pPr>
            <w:r>
              <w:rPr>
                <w:rFonts w:ascii="Times New Roman" w:hAnsi="Times New Roman" w:cs="Times New Roman" w:eastAsia="Times New Roman"/>
                <w:b w:val="false"/>
                <w:sz w:val="26"/>
              </w:rPr>
              <w:t>Thông tư liên tịch 41/2013/TTLT-BYT-BLĐTBXH - Hướng dẫn khám giám định bệnh, tật, dị dạng, dị tật có liên quan đến phơi nhiễm với chất độc hóa học đối với người hoạt động kháng chiến và con đẻ của họ</w:t>
            </w:r>
          </w:p>
        </w:tc>
        <w:tc>
          <w:p/>
          <w:p>
            <w:pPr>
              <w:spacing w:after="0" w:before="0" w:lineRule="auto" w:line="276"/>
              <w:jc w:val="left"/>
            </w:pPr>
            <w:r>
              <w:rPr>
                <w:rFonts w:ascii="Times New Roman" w:hAnsi="Times New Roman" w:cs="Times New Roman" w:eastAsia="Times New Roman"/>
                <w:b w:val="false"/>
                <w:sz w:val="26"/>
              </w:rPr>
              <w:t>18-11-2013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2024-03-29T09:54:16Z</dcterms:created>
  <dc:creator>Apache POI</dc:creator>
</cp:coreProperties>
</file>