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1.002410.000.00.00.H56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627/QĐ-UBND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Giải quyết hưởng chế độ ưu đãi người hoạt động kháng chiến bị nhiễm chất độc hóa học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Huyện, Cấp Xã, Cơ quan khác</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Người có công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xml:space="preserve"> Bước 1. Chuẩn bị hồ sơ.
Cá nhân chuẩn bị hồ sơ theo quy định của pháp luật.</w:t>
      </w:r>
    </w:p>
    <w:p>
      <w:pPr>
        <w:spacing w:after="0" w:before="0" w:lineRule="auto" w:line="276"/>
        <w:jc w:val="both"/>
      </w:pPr>
      <w:r>
        <w:rPr>
          <w:rFonts w:ascii="Times New Roman" w:hAnsi="Times New Roman" w:cs="Times New Roman" w:eastAsia="Times New Roman"/>
          <w:b w:val="false"/>
          <w:sz w:val="26"/>
        </w:rPr>
        <w:t xml:space="preserve"> Bước 2. Tiếp nhận hồ sơ của cá nhân, tổ chức.
a) Địa điểm tiếp nhận:
Ủy ban nhân dân cấp xã nơi cá nhân đăng ký hộ khẩu thường trú.
b) Thời gian tiếp nhận: Trong giờ hành chính các ngày làm việc từ thứ 2 đến thứ 6 hàng  tuần (trừ ngày Lễ, Tết và ngày nghỉ theo quy định).
c) Những điểm cần lưu ý khi tiếp nhận hồ sơ:
- Đối với cá nhân: Bổ sung, hoàn chỉnh hồ sơ theo quy định.
- Đối với cơ quan tiếp nhận hồ sơ:
+ Hướng dẫn để cá nhân bổ sung, hoàn chỉnh hồ sơ theo quy định;
+ Hồ sơ đầy đủ, hợp lệ thì viết giấy biên nhận hồ sơ.</w:t>
      </w:r>
    </w:p>
    <w:p>
      <w:pPr>
        <w:spacing w:after="0" w:before="0" w:lineRule="auto" w:line="276"/>
        <w:jc w:val="both"/>
      </w:pPr>
      <w:r>
        <w:rPr>
          <w:rFonts w:ascii="Times New Roman" w:hAnsi="Times New Roman" w:cs="Times New Roman" w:eastAsia="Times New Roman"/>
          <w:b w:val="false"/>
          <w:sz w:val="26"/>
        </w:rPr>
        <w:t xml:space="preserve"> Bước 3. Xử lý hồ sơ của cá nhân, tổ chức.
- Ủy ban nhân dân cấp xã trong thời gian 10 ngày kể từ ngày nhận được đầy đủ hồ sơ theo quy định có trách nhiệm xác nhận các yếu tố trong bản khai, lập danh sách đề nghị xác nhận người hoạt động kháng chiến bị nhiễm chất độc hóa học kèm giấy tờ quy định  gửi Phòng Lao động-Thương binh và Xã hội cấp huyện;   
- Phòng Lao động-Thương binh và Xã hội cấp huyện trong thời gian 10 ngày kể từ ngày nhận đủ các giấy tờ hợp lệ, có trách nhiệm kiểm tra, lập danh sách người đủ điều kiện kèm giấy tờ quy định gửi Sở Lao động - Thương binh và Xã hội Thanh Hóa; 
- Sở Lao động-Thương binh và Xã hội trong thời gian 10 ngày kể từ ngày nhận đủ hồ sơ hợp lệ, có trách nhiệm kiểm tra hồ sơ, giới thiệu (kèm bản sao hồ sơ) ra Hội đồng giám định y khoa cấp tỉnh. 
 - Trong thời gian không quá 45 ngày, kể từ ngày nhận đủ hồ sơ theo quy định, Hội đồng GĐYK tỉnh Thanh Hóa phải thực hiện khám giám định cho đối tượng và ban hành Biên bản khám GĐYK;
* Trường hợp không khám giám định, trong thời hạn 10, kể từ ngày nhận được hồ sơ, cơ quan Thường trực Hội đồng GĐYK phải có văn bản trả lời cơ quan giới thiệu, nêu rõ lý do và chịu trách nhiệm về việc không tổ chức khám giám định của mình.
- Trong thời gian 10 ngày, kể từ khi nhận đủ giấy tờ theo quy định, Sở Y tế có trách nhiệm cấp và chuyển Giấy chứng nhận mắc bệnh, tật, dị dạng, dị tật hoặc sinh con dị dạng, dị tật có liên quan đến phơi nhiễm với CĐHH theo mẫu quy định đến Sở LĐTBXH.
* Trường hợp Biên bản khám GĐYK (khám giám định phúc quyết hoặc khám giám định phúc quyết lần cuối) kết luận đối tượng không mắc bệnh, tật, dị dạng, dị tật có liên quan đến phơi nhiễm với CĐHH, Giám đốc Sở Y tế ban hành văn bản bãi bỏ hiệu lực của Giấy chứng nhận mắc bệnh, tật, dị dạng, dị tật hoặc sinh con dị dạng, dị tật có liên quan đến phơi nhiễm với CĐHH đã cấp trước đó;
- Sở Lao động-Thương binh và Xã hội trong thời gian 10 ngày kể từ ngày tiếp nhận đủ hồ sơ do Sở Y tế chuyển đến, có trách nhiệm cấp Giấy chứng nhận người hoạt động kháng chiến bị nhiễm chất độc hóa học và ra Quyết định trợ cấp trợ cấp, phụ cấp ưu đãi đối với những trường hợp đủ điều kiện.</w:t>
      </w:r>
    </w:p>
    <w:p>
      <w:pPr>
        <w:spacing w:after="0" w:before="0" w:lineRule="auto" w:line="276"/>
        <w:jc w:val="both"/>
      </w:pPr>
      <w:r>
        <w:rPr>
          <w:rFonts w:ascii="Times New Roman" w:hAnsi="Times New Roman" w:cs="Times New Roman" w:eastAsia="Times New Roman"/>
          <w:b w:val="false"/>
          <w:sz w:val="26"/>
        </w:rPr>
        <w:t xml:space="preserve">  Bước 4. Trả kết quả:
a) Địa điểm trả: Ủy ban nhân dân cấp xã nơi cá nhân đăng ký hộ khẩu thường trú.
b) Thời gian trả kết quả: Trong giờ hành chính các ngày làm việc từ thứ 2 đến thứ 6 hàng  tuần (trừ ngày Lễ, Tết và ngày nghỉ theo quy định).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95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xml:space="preserve"> 95 ngày. Cụ thể là:
- Ủy ban nhân dân cấp xã trong thời gian 10 ngày.
- Phòng Lao động - Thương binh và Xã hội cấp huyện trong thời gian 10 ngày .
-  Sở Lao động - Thương binh và Xã hội trong thời gian 20 ngày.
-  Hội đồng giám định y khoa tỉnh Thanh Hóa 45 ngày.
-  Sở Y tế trong thời gian 10 ngày. </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khai (Mẫu HH1)</w:t>
            </w:r>
          </w:p>
        </w:tc>
        <w:tc>
          <w:p/>
          <w:p>
            <w:pPr>
              <w:spacing w:after="0" w:before="0" w:lineRule="auto" w:line="276"/>
              <w:jc w:val="left"/>
            </w:pPr>
            <w:r>
              <w:rPr>
                <w:rFonts w:ascii="Times New Roman" w:hAnsi="Times New Roman" w:cs="Times New Roman" w:eastAsia="Times New Roman"/>
                <w:b w:val="false"/>
                <w:sz w:val="26"/>
              </w:rPr>
              <w:t>Mẫu HH1.docx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Một trong những giấy tờ chứng minh thời gian tham gia hoạt động kháng chiến tại vùng mà quân đội Mỹ sử dụng chất độc hóa học: Quyết định phục viên, xuất ngũ; giấy X Y Z; giấy chuyển thương, chuyển viện, giấy điều trị; giấy tờ khác chứng minh có tham gia hoạt động kháng chiến tại vùng mà quân đội Mỹ sử dụng chất độc hóa học được xác lập từ ngày 30 tháng 4 năm 1975 trở về trước.  Bản sao: Lý lịch cán bộ, lý lịch đảng viên, lý lịch quân nhân, Huân chương, Huy chương chiến sĩ giải phóng.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bệnh án điều trị tại cơ sở y tế có thẩm quyền do Bộ Y tế quy định, trừ các trường hợp quy định tại Khoản 3, Điều 27, Thông tư 05)</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Biên bản giám định bệnh tật của Hội đồng giám định y khoa có thẩm quyền kết luận bị mắc bệnh tật do nhiễm chất độc hóa học và xác định tỷ lệ suy giảm khả năng lao động do bệnh tật (Mẫu 2, Thông tư liên tịch số 41/2013/TTLT-BYT-BLĐTBXH)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chứng nhận bệnh tật do nhiễm chất độc hóa học (Mẫu 2, Thông tư liên tịch số 41/2013/TTLT-BYT-BLĐTBXH) của Giám đốc Sở Y tế.  Trường hợp người đang phục vụ trong quân đội, công an thì giấy chứng nhận bệnh tật do nhiễm chất độc hóa học do cơ quan y tế có thẩm quyền theo quy định của Bộ Quốc phòng, Bộ Công an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một trong các giấy tờ: Lý lịch công an nhân dân; hồ sơ hưởng chế độ bảo hiểm xã hội; hồ sơ khen thưởng tổng kết thành tích tham gia kháng chiến; hồ sơ, giấy tờ khác có giá trị pháp lý được lập trước ngày 01 tháng 01 năm 2000;</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xác nhận của cơ quan chức năng thuộc Bộ Quốc phòng về phiên hiệu, ký hiệu, thời gian và địa bàn hoạt động của đơn vị.</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Lao động-Thương binh và Xã hội</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Ủy ban nhân dân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Hội đồng Giám định Y khoa tỉnh, Phòng Lao động- Thương Binh và Xã hội</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về việc cấp giấy chứng nhận người HĐKC bị nhiễm CĐHH và trợ cấp, phụ cấp hàng tháng</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05/2013/TT-BLĐTBXH</w:t>
            </w:r>
          </w:p>
        </w:tc>
        <w:tc>
          <w:p/>
          <w:p>
            <w:pPr>
              <w:spacing w:after="0" w:before="0" w:lineRule="auto" w:line="276"/>
              <w:jc w:val="left"/>
            </w:pPr>
            <w:r>
              <w:rPr>
                <w:rFonts w:ascii="Times New Roman" w:hAnsi="Times New Roman" w:cs="Times New Roman" w:eastAsia="Times New Roman"/>
                <w:b w:val="false"/>
                <w:sz w:val="26"/>
              </w:rPr>
              <w:t>Thông tư 05/2013/TT-BLĐTBXH - Hướng dẫn về thủ tục lập hồ sơ, quản lý hồ sơ, thực hiện chế độ ưu đãi người có công với cách mạng và thân nhân</w:t>
            </w:r>
          </w:p>
        </w:tc>
        <w:tc>
          <w:p/>
          <w:p>
            <w:pPr>
              <w:spacing w:after="0" w:before="0" w:lineRule="auto" w:line="276"/>
              <w:jc w:val="left"/>
            </w:pPr>
            <w:r>
              <w:rPr>
                <w:rFonts w:ascii="Times New Roman" w:hAnsi="Times New Roman" w:cs="Times New Roman" w:eastAsia="Times New Roman"/>
                <w:b w:val="false"/>
                <w:sz w:val="26"/>
              </w:rPr>
              <w:t>15-05-2013</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r>
        <w:tc>
          <w:p/>
          <w:p>
            <w:pPr>
              <w:spacing w:after="0" w:before="0" w:lineRule="auto" w:line="276"/>
              <w:jc w:val="left"/>
            </w:pPr>
            <w:r>
              <w:rPr>
                <w:rFonts w:ascii="Times New Roman" w:hAnsi="Times New Roman" w:cs="Times New Roman" w:eastAsia="Times New Roman"/>
                <w:b w:val="false"/>
                <w:sz w:val="26"/>
              </w:rPr>
              <w:t>04/2012/UBTVQH13</w:t>
            </w:r>
          </w:p>
        </w:tc>
        <w:tc>
          <w:p/>
          <w:p>
            <w:pPr>
              <w:spacing w:after="0" w:before="0" w:lineRule="auto" w:line="276"/>
              <w:jc w:val="left"/>
            </w:pPr>
            <w:r>
              <w:rPr>
                <w:rFonts w:ascii="Times New Roman" w:hAnsi="Times New Roman" w:cs="Times New Roman" w:eastAsia="Times New Roman"/>
                <w:b w:val="false"/>
                <w:sz w:val="26"/>
              </w:rPr>
              <w:t>Pháp lệnh 04/2012/UBTVQH13 - Sửa đổi, bổ sung một số điều của Pháp lệnh ưu đãi người có công với cách mạng</w:t>
            </w:r>
          </w:p>
        </w:tc>
        <w:tc>
          <w:p/>
          <w:p>
            <w:pPr>
              <w:spacing w:after="0" w:before="0" w:lineRule="auto" w:line="276"/>
              <w:jc w:val="left"/>
            </w:pPr>
            <w:r>
              <w:rPr>
                <w:rFonts w:ascii="Times New Roman" w:hAnsi="Times New Roman" w:cs="Times New Roman" w:eastAsia="Times New Roman"/>
                <w:b w:val="false"/>
                <w:sz w:val="26"/>
              </w:rPr>
              <w:t>16-07-2012</w:t>
            </w:r>
          </w:p>
        </w:tc>
        <w:tc>
          <w:p/>
          <w:p>
            <w:pPr>
              <w:spacing w:after="0" w:before="0" w:lineRule="auto" w:line="276"/>
              <w:jc w:val="left"/>
            </w:pPr>
            <w:r>
              <w:rPr>
                <w:rFonts w:ascii="Times New Roman" w:hAnsi="Times New Roman" w:cs="Times New Roman" w:eastAsia="Times New Roman"/>
                <w:b w:val="false"/>
                <w:sz w:val="26"/>
              </w:rPr>
              <w:t>Ủy ban thường vụ quốc hội</w:t>
            </w:r>
          </w:p>
        </w:tc>
      </w:tr>
      <w:tr>
        <w:tc>
          <w:p/>
          <w:p>
            <w:pPr>
              <w:spacing w:after="0" w:before="0" w:lineRule="auto" w:line="276"/>
              <w:jc w:val="left"/>
            </w:pPr>
            <w:r>
              <w:rPr>
                <w:rFonts w:ascii="Times New Roman" w:hAnsi="Times New Roman" w:cs="Times New Roman" w:eastAsia="Times New Roman"/>
                <w:b w:val="false"/>
                <w:sz w:val="26"/>
              </w:rPr>
              <w:t>31/2013/NĐ-CP</w:t>
            </w:r>
          </w:p>
        </w:tc>
        <w:tc>
          <w:p/>
          <w:p>
            <w:pPr>
              <w:spacing w:after="0" w:before="0" w:lineRule="auto" w:line="276"/>
              <w:jc w:val="left"/>
            </w:pPr>
            <w:r>
              <w:rPr>
                <w:rFonts w:ascii="Times New Roman" w:hAnsi="Times New Roman" w:cs="Times New Roman" w:eastAsia="Times New Roman"/>
                <w:b w:val="false"/>
                <w:sz w:val="26"/>
              </w:rPr>
              <w:t>Nghị định 31/2013/NĐ-CP - Hướng dẫn Pháp lệnh ưu đãi người có công với cách mạng</w:t>
            </w:r>
          </w:p>
        </w:tc>
        <w:tc>
          <w:p/>
          <w:p>
            <w:pPr>
              <w:spacing w:after="0" w:before="0" w:lineRule="auto" w:line="276"/>
              <w:jc w:val="left"/>
            </w:pPr>
            <w:r>
              <w:rPr>
                <w:rFonts w:ascii="Times New Roman" w:hAnsi="Times New Roman" w:cs="Times New Roman" w:eastAsia="Times New Roman"/>
                <w:b w:val="false"/>
                <w:sz w:val="26"/>
              </w:rPr>
              <w:t>09-04-2013</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16/2014/TT-BLĐTBXH</w:t>
            </w:r>
          </w:p>
        </w:tc>
        <w:tc>
          <w:p/>
          <w:p>
            <w:pPr>
              <w:spacing w:after="0" w:before="0" w:lineRule="auto" w:line="276"/>
              <w:jc w:val="left"/>
            </w:pPr>
            <w:r>
              <w:rPr>
                <w:rFonts w:ascii="Times New Roman" w:hAnsi="Times New Roman" w:cs="Times New Roman" w:eastAsia="Times New Roman"/>
                <w:b w:val="false"/>
                <w:sz w:val="26"/>
              </w:rPr>
              <w:t>Thông tư 16/2014/TT-BLĐTBXH - Hướng dẫn một số nội dung xác nhận và thực hiệnchế độ ưu đãi người có công với cách mạng</w:t>
            </w:r>
          </w:p>
        </w:tc>
        <w:tc>
          <w:p/>
          <w:p>
            <w:pPr>
              <w:spacing w:after="0" w:before="0" w:lineRule="auto" w:line="276"/>
              <w:jc w:val="left"/>
            </w:pPr>
            <w:r>
              <w:rPr>
                <w:rFonts w:ascii="Times New Roman" w:hAnsi="Times New Roman" w:cs="Times New Roman" w:eastAsia="Times New Roman"/>
                <w:b w:val="false"/>
                <w:sz w:val="26"/>
              </w:rPr>
              <w:t>30-07-2014</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r>
        <w:tc>
          <w:p/>
          <w:p>
            <w:pPr>
              <w:spacing w:after="0" w:before="0" w:lineRule="auto" w:line="276"/>
              <w:jc w:val="left"/>
            </w:pPr>
            <w:r>
              <w:rPr>
                <w:rFonts w:ascii="Times New Roman" w:hAnsi="Times New Roman" w:cs="Times New Roman" w:eastAsia="Times New Roman"/>
                <w:b w:val="false"/>
                <w:sz w:val="26"/>
              </w:rPr>
              <w:t>45/2014/TTLT-BYT-BLĐTBXH</w:t>
            </w:r>
          </w:p>
        </w:tc>
        <w:tc>
          <w:p/>
          <w:p>
            <w:pPr>
              <w:spacing w:after="0" w:before="0" w:lineRule="auto" w:line="276"/>
              <w:jc w:val="left"/>
            </w:pPr>
            <w:r>
              <w:rPr>
                <w:rFonts w:ascii="Times New Roman" w:hAnsi="Times New Roman" w:cs="Times New Roman" w:eastAsia="Times New Roman"/>
                <w:b w:val="false"/>
                <w:sz w:val="26"/>
              </w:rPr>
              <w:t>Thông tư liên tịch 45/2014/TTLT-BYT-BLĐTBXH-Hướng dẫn khám giám định thương tật đối với thương binh và người hưởng chính sách như thương binh</w:t>
            </w:r>
          </w:p>
        </w:tc>
        <w:tc>
          <w:p/>
          <w:p>
            <w:pPr>
              <w:spacing w:after="0" w:before="0" w:lineRule="auto" w:line="276"/>
              <w:jc w:val="left"/>
            </w:pPr>
            <w:r>
              <w:rPr>
                <w:rFonts w:ascii="Times New Roman" w:hAnsi="Times New Roman" w:cs="Times New Roman" w:eastAsia="Times New Roman"/>
                <w:b w:val="false"/>
                <w:sz w:val="26"/>
              </w:rPr>
              <w:t>25-11-2014</w:t>
            </w:r>
          </w:p>
        </w:tc>
        <w:tc>
          <w:p/>
          <w:p>
            <w:pPr>
              <w:spacing w:after="0" w:before="0" w:lineRule="auto" w:line="276"/>
              <w:jc w:val="left"/>
            </w:pPr>
            <w:r>
              <w:rPr>
                <w:rFonts w:ascii="Times New Roman" w:hAnsi="Times New Roman" w:cs="Times New Roman" w:eastAsia="Times New Roman"/>
                <w:b w:val="false"/>
                <w:sz w:val="26"/>
              </w:rPr>
              <w:t>Bộ Y tế</w:t>
            </w:r>
          </w:p>
        </w:tc>
      </w:tr>
      <w:tr>
        <w:tc>
          <w:p/>
          <w:p>
            <w:pPr>
              <w:spacing w:after="0" w:before="0" w:lineRule="auto" w:line="276"/>
              <w:jc w:val="left"/>
            </w:pPr>
            <w:r>
              <w:rPr>
                <w:rFonts w:ascii="Times New Roman" w:hAnsi="Times New Roman" w:cs="Times New Roman" w:eastAsia="Times New Roman"/>
                <w:b w:val="false"/>
                <w:sz w:val="26"/>
              </w:rPr>
              <w:t>41/2013/TTLT-BYT-BLĐTBXH</w:t>
            </w:r>
          </w:p>
        </w:tc>
        <w:tc>
          <w:p/>
          <w:p>
            <w:pPr>
              <w:spacing w:after="0" w:before="0" w:lineRule="auto" w:line="276"/>
              <w:jc w:val="left"/>
            </w:pPr>
            <w:r>
              <w:rPr>
                <w:rFonts w:ascii="Times New Roman" w:hAnsi="Times New Roman" w:cs="Times New Roman" w:eastAsia="Times New Roman"/>
                <w:b w:val="false"/>
                <w:sz w:val="26"/>
              </w:rPr>
              <w:t>Thông tư liên tịch 41/2013/TTLT-BYT-BLĐTBXH - Hướng dẫn khám giám định bệnh, tật, dị dạng, dị tật có liên quan đến phơi nhiễm với chất độc hóa học đối với người hoạt động kháng chiến và con đẻ của họ</w:t>
            </w:r>
          </w:p>
        </w:tc>
        <w:tc>
          <w:p/>
          <w:p>
            <w:pPr>
              <w:spacing w:after="0" w:before="0" w:lineRule="auto" w:line="276"/>
              <w:jc w:val="left"/>
            </w:pPr>
            <w:r>
              <w:rPr>
                <w:rFonts w:ascii="Times New Roman" w:hAnsi="Times New Roman" w:cs="Times New Roman" w:eastAsia="Times New Roman"/>
                <w:b w:val="false"/>
                <w:sz w:val="26"/>
              </w:rPr>
              <w:t>18-11-2013</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2024-03-28T14:27:27Z</dcterms:created>
  <dc:creator>Apache POI</dc:creator>
</cp:coreProperties>
</file>