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1.002467.000.00.00.H18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1377/QĐ-UBND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Công bố cơ sở đủ điều kiện cung cấp dịch vụ diệt côn trùng, diệt khuẩn trong lĩnh vực gia dụng và y tế bằng chế phẩm</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Tỉnh</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Y tế Dự phòng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Cơ sở cung cấp dịch vụ nộp hồ sơ đến Bộ phận Tiếp nhận và Trả kết quả thuộc Văn phòng Sở Y tế  tỉnh Điện Biên (Số 251C , Tổ dân phố 6, phường Noong Bua, thành phố Điện Biên Phủ, tỉnh Điện Biên) nơi cơ sở đặt trụ sở.</w:t>
      </w:r>
    </w:p>
    <w:p>
      <w:pPr>
        <w:spacing w:after="0" w:before="0" w:lineRule="auto" w:line="276"/>
        <w:jc w:val="both"/>
      </w:pPr>
      <w:r>
        <w:rPr>
          <w:rFonts w:ascii="Times New Roman" w:hAnsi="Times New Roman" w:cs="Times New Roman" w:eastAsia="Times New Roman"/>
          <w:b w:val="false"/>
          <w:sz w:val="26"/>
        </w:rPr>
        <w:t>Sau khi tiếp nhận hồ sơ đầy đủ, Sở Y tế cấp cho cơ sở thực hiện việc công bố Phiếu tiếp nhận hồ sơ công bố đủ điều kiện cung cấp dịch vụ diệt côn trùng, diệt khuẩn bằng chế phẩm theo Mẫu số 08 tại Phụ lục III ban hành kèm theo Nghị định số 91/2016/NĐ-CP.</w:t>
      </w:r>
    </w:p>
    <w:p>
      <w:pPr>
        <w:spacing w:after="0" w:before="0" w:lineRule="auto" w:line="276"/>
        <w:jc w:val="both"/>
      </w:pPr>
      <w:r>
        <w:rPr>
          <w:rFonts w:ascii="Times New Roman" w:hAnsi="Times New Roman" w:cs="Times New Roman" w:eastAsia="Times New Roman"/>
          <w:b w:val="false"/>
          <w:sz w:val="26"/>
        </w:rPr>
        <w:t>Trong thời hạn 03 ngày làm việc, kể từ ngày ghi trên Phiếu tiếp nhận hồ sơ, Sở Y tế có trách nhiệm công khai trên trang thông tin điện tử của Sở Y tế các thông tin: Tên, địa chỉ, số điện thoại liên hệ của cơ sở cung cấp dịch vụ diệt côn trùng, diệt khuẩn bằng chế phẩm.</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ngày tiếp nhận hồ sơ</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 Ngày làm việc</w:t>
            </w:r>
          </w:p>
        </w:tc>
        <w:tc>
          <w:p/>
          <w:p>
            <w:pPr>
              <w:spacing w:after="0" w:before="0" w:lineRule="auto" w:line="276"/>
              <w:jc w:val="left"/>
            </w:pPr>
            <w:r>
              <w:rPr>
                <w:rFonts w:ascii="Times New Roman" w:hAnsi="Times New Roman" w:cs="Times New Roman" w:eastAsia="Times New Roman"/>
                <w:b w:val="false"/>
                <w:sz w:val="26"/>
              </w:rPr>
            </w:r>
          </w:p>
        </w:tc>
        <w:tc>
          <w:p/>
          <w:p>
            <w:pPr>
              <w:spacing w:after="0" w:before="0" w:lineRule="auto" w:line="276"/>
              <w:jc w:val="left"/>
            </w:pPr>
            <w:r>
              <w:rPr>
                <w:rFonts w:ascii="Times New Roman" w:hAnsi="Times New Roman" w:cs="Times New Roman" w:eastAsia="Times New Roman"/>
                <w:b w:val="false"/>
                <w:sz w:val="26"/>
              </w:rPr>
              <w:t>Trong ngày tiếp nhận hồ sơ</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1. Văn bản công bố đủ điều kiện cung cấp dịch vụ diệt côn trùng, diệt khuẩn bằng chế phẩm theo Mẫu số 08 tại Phụ lục I ban hành kèm theo Nghị định số 155/2018/NĐ-CP.</w:t>
            </w:r>
          </w:p>
        </w:tc>
        <w:tc>
          <w:p/>
          <w:p>
            <w:pPr>
              <w:spacing w:after="0" w:before="0" w:lineRule="auto" w:line="276"/>
              <w:jc w:val="left"/>
            </w:pPr>
            <w:r>
              <w:rPr>
                <w:rFonts w:ascii="Times New Roman" w:hAnsi="Times New Roman" w:cs="Times New Roman" w:eastAsia="Times New Roman"/>
                <w:b w:val="false"/>
                <w:sz w:val="26"/>
              </w:rPr>
              <w:t>Mau 08 MTYT 5083.docx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2. Danh sách người được tập huấn kiến thức có xác nhận của chủ cơ sở công bố.</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Doanh nghiệp có vốn đầu tư nước ngoài,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Sở Y tế - tỉnh Điện Biên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Sở Y tế  tỉnh Điện Biên (Số 251C , Tổ dân phố 6, phường Noong Bua, thành phố Điện Biên Phủ, tỉnh Điện Biên)</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Phiếu tiếp nhận hồ sơ</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05/2007/QH12</w:t>
            </w:r>
          </w:p>
        </w:tc>
        <w:tc>
          <w:p/>
          <w:p>
            <w:pPr>
              <w:spacing w:after="0" w:before="0" w:lineRule="auto" w:line="276"/>
              <w:jc w:val="left"/>
            </w:pPr>
            <w:r>
              <w:rPr>
                <w:rFonts w:ascii="Times New Roman" w:hAnsi="Times New Roman" w:cs="Times New Roman" w:eastAsia="Times New Roman"/>
                <w:b w:val="false"/>
                <w:sz w:val="26"/>
              </w:rPr>
              <w:t>Luật 05/2007/QH12 - Chất lượng sản phẩm, hàng hoá</w:t>
            </w:r>
          </w:p>
        </w:tc>
        <w:tc>
          <w:p/>
          <w:p>
            <w:pPr>
              <w:spacing w:after="0" w:before="0" w:lineRule="auto" w:line="276"/>
              <w:jc w:val="left"/>
            </w:pPr>
            <w:r>
              <w:rPr>
                <w:rFonts w:ascii="Times New Roman" w:hAnsi="Times New Roman" w:cs="Times New Roman" w:eastAsia="Times New Roman"/>
                <w:b w:val="false"/>
                <w:sz w:val="26"/>
              </w:rPr>
              <w:t>21-11-2007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68/2014/QH13</w:t>
            </w:r>
          </w:p>
        </w:tc>
        <w:tc>
          <w:p/>
          <w:p>
            <w:pPr>
              <w:spacing w:after="0" w:before="0" w:lineRule="auto" w:line="276"/>
              <w:jc w:val="left"/>
            </w:pPr>
            <w:r>
              <w:rPr>
                <w:rFonts w:ascii="Times New Roman" w:hAnsi="Times New Roman" w:cs="Times New Roman" w:eastAsia="Times New Roman"/>
                <w:b w:val="false"/>
                <w:sz w:val="26"/>
              </w:rPr>
              <w:t>Luật 68/2014/QH13</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36/2005/QH11</w:t>
            </w:r>
          </w:p>
        </w:tc>
        <w:tc>
          <w:p/>
          <w:p>
            <w:pPr>
              <w:spacing w:after="0" w:before="0" w:lineRule="auto" w:line="276"/>
              <w:jc w:val="left"/>
            </w:pPr>
            <w:r>
              <w:rPr>
                <w:rFonts w:ascii="Times New Roman" w:hAnsi="Times New Roman" w:cs="Times New Roman" w:eastAsia="Times New Roman"/>
                <w:b w:val="false"/>
                <w:sz w:val="26"/>
              </w:rPr>
              <w:t>Luật 36/2005/QH11 -  Thương mại</w:t>
            </w:r>
          </w:p>
        </w:tc>
        <w:tc>
          <w:p/>
          <w:p>
            <w:pPr>
              <w:spacing w:after="0" w:before="0" w:lineRule="auto" w:line="276"/>
              <w:jc w:val="left"/>
            </w:pPr>
            <w:r>
              <w:rPr>
                <w:rFonts w:ascii="Times New Roman" w:hAnsi="Times New Roman" w:cs="Times New Roman" w:eastAsia="Times New Roman"/>
                <w:b w:val="false"/>
                <w:sz w:val="26"/>
              </w:rPr>
              <w:t>14-06-2005</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67/2014/QH13</w:t>
            </w:r>
          </w:p>
        </w:tc>
        <w:tc>
          <w:p/>
          <w:p>
            <w:pPr>
              <w:spacing w:after="0" w:before="0" w:lineRule="auto" w:line="276"/>
              <w:jc w:val="left"/>
            </w:pPr>
            <w:r>
              <w:rPr>
                <w:rFonts w:ascii="Times New Roman" w:hAnsi="Times New Roman" w:cs="Times New Roman" w:eastAsia="Times New Roman"/>
                <w:b w:val="false"/>
                <w:sz w:val="26"/>
              </w:rPr>
              <w:t>Luật 67/2014/QH13</w:t>
            </w:r>
          </w:p>
        </w:tc>
        <w:tc>
          <w:p/>
          <w:p>
            <w:pPr>
              <w:spacing w:after="0" w:before="0" w:lineRule="auto" w:line="276"/>
              <w:jc w:val="left"/>
            </w:pPr>
            <w:r>
              <w:rPr>
                <w:rFonts w:ascii="Times New Roman" w:hAnsi="Times New Roman" w:cs="Times New Roman" w:eastAsia="Times New Roman"/>
                <w:b w:val="false"/>
                <w:sz w:val="26"/>
              </w:rPr>
              <w:t>26-11-2014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06/2007/QH12</w:t>
            </w:r>
          </w:p>
        </w:tc>
        <w:tc>
          <w:p/>
          <w:p>
            <w:pPr>
              <w:spacing w:after="0" w:before="0" w:lineRule="auto" w:line="276"/>
              <w:jc w:val="left"/>
            </w:pPr>
            <w:r>
              <w:rPr>
                <w:rFonts w:ascii="Times New Roman" w:hAnsi="Times New Roman" w:cs="Times New Roman" w:eastAsia="Times New Roman"/>
                <w:b w:val="false"/>
                <w:sz w:val="26"/>
              </w:rPr>
              <w:t>Luật 06/2007/QH12 - Hóa chất</w:t>
            </w:r>
          </w:p>
        </w:tc>
        <w:tc>
          <w:p/>
          <w:p>
            <w:pPr>
              <w:spacing w:after="0" w:before="0" w:lineRule="auto" w:line="276"/>
              <w:jc w:val="left"/>
            </w:pPr>
            <w:r>
              <w:rPr>
                <w:rFonts w:ascii="Times New Roman" w:hAnsi="Times New Roman" w:cs="Times New Roman" w:eastAsia="Times New Roman"/>
                <w:b w:val="false"/>
                <w:sz w:val="26"/>
              </w:rPr>
              <w:t>21-11-2007</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91/2016/NĐ-CP</w:t>
            </w:r>
          </w:p>
        </w:tc>
        <w:tc>
          <w:p/>
          <w:p>
            <w:pPr>
              <w:spacing w:after="0" w:before="0" w:lineRule="auto" w:line="276"/>
              <w:jc w:val="left"/>
            </w:pPr>
            <w:r>
              <w:rPr>
                <w:rFonts w:ascii="Times New Roman" w:hAnsi="Times New Roman" w:cs="Times New Roman" w:eastAsia="Times New Roman"/>
                <w:b w:val="false"/>
                <w:sz w:val="26"/>
              </w:rPr>
              <w:t>Nghị định 91/2016/NĐ-CP-Về quản lý hóa chất, chế phẩm diệt côn trùng, diệt khuẩn dùng trong lĩnh vực gia dụng và y tế</w:t>
            </w:r>
          </w:p>
        </w:tc>
        <w:tc>
          <w:p/>
          <w:p>
            <w:pPr>
              <w:spacing w:after="0" w:before="0" w:lineRule="auto" w:line="276"/>
              <w:jc w:val="left"/>
            </w:pPr>
            <w:r>
              <w:rPr>
                <w:rFonts w:ascii="Times New Roman" w:hAnsi="Times New Roman" w:cs="Times New Roman" w:eastAsia="Times New Roman"/>
                <w:b w:val="false"/>
                <w:sz w:val="26"/>
              </w:rPr>
              <w:t>01-07-2016</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Khoản 12 Điều 9 Nghị định số 155/2018/NĐ-CP 
Người trực tiếp thực hiện diệt côn trùng, diệt khuẩn phải được tập huấn kiến thức sau và được chủ cơ sở xác nhận đã được tập huấn về:
a) Cách đọc thông tin  trên nhãn chế phẩm;
b) Kỹ thuật diệt côn trùng, diệt khuẩn phù hợp với dịch vụ mà cơ sở cung cấp;
c) Sử dụng và thải bỏ an toàn chế phẩm diệt côn trùng, diệt khuẩn.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2024-03-29T01:30:37Z</dcterms:created>
  <dc:creator>Apache POI</dc:creator>
</cp:coreProperties>
</file>