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1.002741.000.00.00.H47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3208/QĐ-UBND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Xác nhận thương binh, người hưởng chính sách như thương binh đối với người bị thương không thuộc lực lượng công an, quân đội trong chiến tranh từ ngày 31/12/1991 trở về trước không còn giấy tờ</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 Cơ quan khác</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Người bị thương lập bản khai cá nhân (Mẫu TB) kèm theo giấy tờ chứng minh tham gia cách mạng quy định tại Khoản 1 Điều 6, Thông tư liên tịch số 28/2013/TTLT-BLĐTBXH-BQP gửi Ủy ban nhân dân cấp xã nơi cư trú trước khi tham gia cách mạng</w:t>
      </w:r>
    </w:p>
    <w:p>
      <w:pPr>
        <w:spacing w:after="0" w:before="0" w:lineRule="auto" w:line="276"/>
        <w:jc w:val="both"/>
      </w:pPr>
      <w:r>
        <w:rPr>
          <w:rFonts w:ascii="Times New Roman" w:hAnsi="Times New Roman" w:cs="Times New Roman" w:eastAsia="Times New Roman"/>
          <w:b w:val="false"/>
          <w:sz w:val="26"/>
        </w:rPr>
        <w:t>Bước 2: Ủy ban nhân dân cấp xã có trách nhiệm:
Đề nghị Hội Cựu chiến binh và Hội Người cao tuổi cùng cấp có ý kiến bằng văn bản về việc xác nhận người hưởng chính sách như thương binh;
Trường hợp người bị thương là thanh niên xung phong đề nghị có thêm ý kiến bằng văn bản của Hội Cựu thanh niên xung phong hoặc Ban Liên lạc thanh niên xung phong cùng cấp.
Niêm yết công khai danh sách tại cấp thôn, xóm và Ủy ban nhân dân cấp xã nơi cư trú của người bị thương trước khi tham gia cách mạng; thông báo trên phương tiện thông tin đại chúng của địa phương để lấy ý kiến của nhân dân trong thời hạn tối thiểu 15 ngày. Lập Biên bản kết quả niêm yết công khai;
Căn cứ Biên bản kết quả niêm yết công khai và văn bản tham gia ý kiến của các Hội tại Điểm a Khoản này, tổ chức họp Hội đồng xác nhận người có công cấp xã để xét duyệt, lập biên bản họp Hội đồng đề nghị xác nhận người hưởng chính sách như thương binh (Mẫu BB-TB) đối với những trường hợp được nhân dân đồng thuận, không có khiếu nại, tố cáo;
Gửi biên bản họp Hội đồng đề nghị xác nhận người hưởng chính sách như thương binh, biên bản niêm yết công khai, văn bản tham gia ý kiến của các Hội tại Điểm a Khoản này, kèm theo giấy tờ, hồ sơ quy định tại Khoản 1 Điều này đến Phòng Lao động - Thương binh và Xã hội.</w:t>
      </w:r>
    </w:p>
    <w:p>
      <w:pPr>
        <w:spacing w:after="0" w:before="0" w:lineRule="auto" w:line="276"/>
        <w:jc w:val="both"/>
      </w:pPr>
      <w:r>
        <w:rPr>
          <w:rFonts w:ascii="Times New Roman" w:hAnsi="Times New Roman" w:cs="Times New Roman" w:eastAsia="Times New Roman"/>
          <w:b w:val="false"/>
          <w:sz w:val="26"/>
        </w:rPr>
        <w:t>Bước 3: Phòng Lao động - Thương binh và Xã hội có trách nhiệm:
Kiểm tra hồ sơ, báo cáo Chủ tịch Ủy ban nhân dân cấp huyện tổ chức họp Ban Chỉ đạo xác nhận người có công để xét duyệt từng hồ sơ; lập biên bản xét duyệt;
Trường hợp quy định tại Điểm b, d, đ Khoản 2 Điều 6 của Thông tư liên tịch số 28/2013/TTLT-BLĐTBXH-BQP, báo cáo Chủ tịch Ủy ban nhân dân cấp huyện chỉ đạo cơ quan y tế cấp huyện kiểm tra vết thương thực thể và lập biên bản kiểm tra (Mẫu XN).
Căn cứ biên bản xét duyệt của Ban Chỉ đạo, trình Chủ tịch Ủy ban nhân dân cấp huyện cấp giấy chứng nhận bị thương đối với những trường hợp thuộc thẩm quyền;
Trường hợp không thuộc thẩm quyền cấp giấy chứng nhận bị thương của Ủy ban nhân dân cấp huyện thì chuyển hồ sơ đến cơ quan có thẩm quyền theo quy định tại Điểm c, d Khoản 2 Điều 28 Nghị định số 31/2013/NĐ-CP;
Người bị thương là Thanh niên xung phong nếu thuộc Bộ Giao thông vận tải quản lý thì chuyển hồ sơ đến Bộ Giao thông vận tải để cấp giấy chứng nhận bị thương. Người bị thương là Thanh niên xung phong nếu thuộc các cơ quan, đơn vị khác quản lý thì chuyển đến Sở Nội vụ để xem xét trình Chủ tịch Ủy ban nhân dân cấp tỉnh cấp giấy chứng nhận bị thương;</w:t>
      </w:r>
    </w:p>
    <w:p>
      <w:pPr>
        <w:spacing w:after="0" w:before="0" w:lineRule="auto" w:line="276"/>
        <w:jc w:val="both"/>
      </w:pPr>
      <w:r>
        <w:rPr>
          <w:rFonts w:ascii="Times New Roman" w:hAnsi="Times New Roman" w:cs="Times New Roman" w:eastAsia="Times New Roman"/>
          <w:b w:val="false"/>
          <w:sz w:val="26"/>
        </w:rPr>
        <w:t>Bước 4: Cơ quan có thẩm quyền cấp giấy chứng nhận bị thương có trách nhiệm kiểm tra hồ sơ, cấp giấy chứng nhận bị thương và chuyển toàn bộ hồ sơ về Bộ phận tiếp nhận và Trả kết quả của Sở Lao động - Thương binh và Xã hội tại Trung tâm Hành chính công tỉnh Quảng Nam(số 159B Trần Quý Cáp, thành phố Tam Kỳ, tỉnh Quảng Nam) để giới thiệu người bị thương đến Hội đồng giám định y khoa để giám định thương tật.</w:t>
      </w:r>
    </w:p>
    <w:p>
      <w:pPr>
        <w:spacing w:after="0" w:before="0" w:lineRule="auto" w:line="276"/>
        <w:jc w:val="both"/>
      </w:pPr>
      <w:r>
        <w:rPr>
          <w:rFonts w:ascii="Times New Roman" w:hAnsi="Times New Roman" w:cs="Times New Roman" w:eastAsia="Times New Roman"/>
          <w:b w:val="false"/>
          <w:sz w:val="26"/>
        </w:rPr>
        <w:t>Bước 5: Sau khi tiếp nhận biên bản giám định của Hội đồng Giám định y khoa tỉnh, Sở Lao động- Thương binh và Xã hội căn cứ biên bản ra quyết định trợ cấp</w:t>
      </w:r>
    </w:p>
    <w:p>
      <w:pPr>
        <w:spacing w:after="0" w:before="0" w:lineRule="auto" w:line="276"/>
        <w:jc w:val="both"/>
      </w:pPr>
      <w:r>
        <w:rPr>
          <w:rFonts w:ascii="Times New Roman" w:hAnsi="Times New Roman" w:cs="Times New Roman" w:eastAsia="Times New Roman"/>
          <w:b w:val="false"/>
          <w:sz w:val="26"/>
        </w:rPr>
        <w:t>Bước 6: Công chức được phân công nhiệm vụ của phòng chuyên môn trả kết quả cho Công chức tại Bộ phận TN&amp;TKQ tại TTHCC tỉnh để trả kết quả cho tổ chức, cá nhân và thu phí, lệ phí (nếu có)</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Không quy định </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khai cá nhân (Mẫu TB)</w:t>
            </w:r>
          </w:p>
        </w:tc>
        <w:tc>
          <w:p/>
          <w:p>
            <w:pPr>
              <w:spacing w:after="0" w:before="0" w:lineRule="auto" w:line="276"/>
              <w:jc w:val="left"/>
            </w:pPr>
            <w:r>
              <w:rPr>
                <w:rFonts w:ascii="Times New Roman" w:hAnsi="Times New Roman" w:cs="Times New Roman" w:eastAsia="Times New Roman"/>
                <w:b w:val="false"/>
                <w:sz w:val="26"/>
              </w:rPr>
              <w:t>Mẫu TB.docx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Một trong các giấy tờ sau: lý lịch cán bộ; lý lịch đảng viên; lý lịch quân nhân; lý lịch công an nhân dân; quyết định phục viên, xuất ngũ, thôi việc; hồ sơ bảo hiểm xã hội hoặc các giấy tờ, tài liệu có giá trị pháp lý lập từ ngày 31/12/1994 trở về trước. Trường hợp không còn một trong các giấy tờ nêu trên nhưng đã được hưởng trợ cấp theo các Quyết định sau đây của Thủ tướng Chính phủ thì thì phải có bản khai chi tiết quá trình tham gia cách mạng, có xác nhận của Ủy ban nhân dân cấp xã nơi cư trú:  Quyết định số 47/2002/QĐ-TTg ngày 11/4/2002 về chế độ đối với quân nhân, công nhân viên quốc phòng tham gia kháng chiến chống pháp đã phục viên (giải ngũ, thôi việc) từ 31/12/1960 trở về trước;  Quyết định số 290/2005/QĐ-TTg ngày 08/11/2005 về chế độ, chính sách đối với một số đối tượng trực tiếp tham gia kháng chiến chống Mỹ cứu nước nhưng chưa được hưởng chính sách của Đảng và Nhà nước;  Quyết định số 142/2008/QĐ-TTg ngày 27/10/2008 về thực hiện chế độ đối với quân nhân tham gia kháng chiến chống Mỹ cứu nước có dưới 20 năm công tác trong quân đội đã phục viên, xuất ngũ về địa phương;  Quyết định số 62/2011/QĐ-TTg ngày 09/11/2011 về chế độ, chính sách đối với đối tượng tham gia chiến tranh bảo vệ Tổ quốc, làm nhiệm vụ quốc tế ở Campuchia, giúp bạn Lào sau ngày 30 tháng 4 năm 1975 đã phục viên, xuất ngũ, thôi việc;  Quyết định số 53/2010/QĐ-TTg ngày 20/8/2010 về chế độ đối với cán bộ, chiến sĩ Công an nhân dân tham gia kháng chiến chống Mỹ có dưới 20 năm công tác trong Công an nhân dân đã thôi việc, xuất ngũ về địa phương.  Quyết định số 40/2011/QĐ-TTg ngày 27/7/2011 về chế độ đối với thanh niên xung phong đã hoàn thành nhiệm vụ trong kháng chiến.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Tùy từng trường hợp kèm theo một trong các giấy tờ sau:  Trường hợp quy định tại Điểm a, b Khoản 2 Điều 6 của Thông tư 16 kèm theo giấy tờ, tài liệu chứng minh bị thương;  Trường hợp có dị vật kim khí trong cơ thể quy định tại Điểm d, đ Khoản 2 Điều 6 của Thông tư 16 phải có kết quả chiếu, chụp và kết luận của bệnh viện cấp huyện trở lên hoặc bệnh viện quân đội, công an.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Bộ Giao thông vận tải, Ủy ban Nhân dân tỉnh và thành phố trực thuộc trung ương., Ủy ban Nhân dân huyện, quận, thành phố trực thuộc tỉnh, thị xã., Ủy ban Nhân dân xã, phường, thị trấn., Công an Xã, Phòng Lao động- Thương Binh và Xã hội, Công an huyện, Các cơ quan, tổ chức liên quan, Sở Lao động, Thương binh và Xã hội tỉnh Quảng Nam, Sở Nội vụ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Lao động-Thương binh và Xã hội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thương binh Quyết định trợ cấp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04/2012/UBTVQH13</w:t>
            </w:r>
          </w:p>
        </w:tc>
        <w:tc>
          <w:p/>
          <w:p>
            <w:pPr>
              <w:spacing w:after="0" w:before="0" w:lineRule="auto" w:line="276"/>
              <w:jc w:val="left"/>
            </w:pPr>
            <w:r>
              <w:rPr>
                <w:rFonts w:ascii="Times New Roman" w:hAnsi="Times New Roman" w:cs="Times New Roman" w:eastAsia="Times New Roman"/>
                <w:b w:val="false"/>
                <w:sz w:val="26"/>
              </w:rPr>
              <w:t>Pháp lệnh 04/2012/UBTVQH13 - Sửa đổi, bổ sung một số điều của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16-07-2012</w:t>
            </w:r>
          </w:p>
        </w:tc>
        <w:tc>
          <w:p/>
          <w:p>
            <w:pPr>
              <w:spacing w:after="0" w:before="0" w:lineRule="auto" w:line="276"/>
              <w:jc w:val="left"/>
            </w:pPr>
            <w:r>
              <w:rPr>
                <w:rFonts w:ascii="Times New Roman" w:hAnsi="Times New Roman" w:cs="Times New Roman" w:eastAsia="Times New Roman"/>
                <w:b w:val="false"/>
                <w:sz w:val="26"/>
              </w:rPr>
              <w:t>Ủy ban thường vụ quốc hội</w:t>
            </w:r>
          </w:p>
        </w:tc>
      </w:tr>
      <w:tr>
        <w:tc>
          <w:p/>
          <w:p>
            <w:pPr>
              <w:spacing w:after="0" w:before="0" w:lineRule="auto" w:line="276"/>
              <w:jc w:val="left"/>
            </w:pPr>
            <w:r>
              <w:rPr>
                <w:rFonts w:ascii="Times New Roman" w:hAnsi="Times New Roman" w:cs="Times New Roman" w:eastAsia="Times New Roman"/>
                <w:b w:val="false"/>
                <w:sz w:val="26"/>
              </w:rPr>
              <w:t>31/2013/NĐ-CP</w:t>
            </w:r>
          </w:p>
        </w:tc>
        <w:tc>
          <w:p/>
          <w:p>
            <w:pPr>
              <w:spacing w:after="0" w:before="0" w:lineRule="auto" w:line="276"/>
              <w:jc w:val="left"/>
            </w:pPr>
            <w:r>
              <w:rPr>
                <w:rFonts w:ascii="Times New Roman" w:hAnsi="Times New Roman" w:cs="Times New Roman" w:eastAsia="Times New Roman"/>
                <w:b w:val="false"/>
                <w:sz w:val="26"/>
              </w:rPr>
              <w:t>Nghị định 31/2013/NĐ-CP - Hướng dẫn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09-04-2013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28/2013/TTLT-BLĐTBXH-BQP</w:t>
            </w:r>
          </w:p>
        </w:tc>
        <w:tc>
          <w:p/>
          <w:p>
            <w:pPr>
              <w:spacing w:after="0" w:before="0" w:lineRule="auto" w:line="276"/>
              <w:jc w:val="left"/>
            </w:pPr>
            <w:r>
              <w:rPr>
                <w:rFonts w:ascii="Times New Roman" w:hAnsi="Times New Roman" w:cs="Times New Roman" w:eastAsia="Times New Roman"/>
                <w:b w:val="false"/>
                <w:sz w:val="26"/>
              </w:rPr>
              <w:t>Thông tư liên tịch 28/2013/TTLT-BLĐTBXH-BQP - Hướng dẫn xác nhận liệt sĩ, thương binh, người hưởng chính sách như thương binh trong chiến tranh không còn giấy tờ</w:t>
            </w:r>
          </w:p>
        </w:tc>
        <w:tc>
          <w:p/>
          <w:p>
            <w:pPr>
              <w:spacing w:after="0" w:before="0" w:lineRule="auto" w:line="276"/>
              <w:jc w:val="left"/>
            </w:pPr>
            <w:r>
              <w:rPr>
                <w:rFonts w:ascii="Times New Roman" w:hAnsi="Times New Roman" w:cs="Times New Roman" w:eastAsia="Times New Roman"/>
                <w:b w:val="false"/>
                <w:sz w:val="26"/>
              </w:rPr>
              <w:t>22-10-2013</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2024-03-28T11:26:47Z</dcterms:created>
  <dc:creator>Apache POI</dc:creator>
</cp:coreProperties>
</file>