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1.002862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6184/QĐ-BQP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xét tặng danh hiệu vinh dự Nhà nước "Bà mẹ Việt Nam anh hùng"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Khen thưởng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Đối tượng nộp các giấy tờ theo quy định cho UBND cấp xã nơi đăng ký hộ khẩu thường trú.</w:t>
      </w:r>
    </w:p>
    <w:p>
      <w:pPr>
        <w:spacing w:after="0" w:before="0" w:lineRule="auto" w:line="276"/>
        <w:jc w:val="both"/>
      </w:pPr>
      <w:r>
        <w:rPr>
          <w:rFonts w:ascii="Times New Roman" w:hAnsi="Times New Roman" w:cs="Times New Roman" w:eastAsia="Times New Roman"/>
          <w:b w:val="false"/>
          <w:sz w:val="26"/>
        </w:rPr>
        <w:t>-	UBND cấp xã tổ chức họp xét duyệt, lập hồ sơ, báo cáo UBND cấp huyện.</w:t>
      </w:r>
    </w:p>
    <w:p>
      <w:pPr>
        <w:spacing w:after="0" w:before="0" w:lineRule="auto" w:line="276"/>
        <w:jc w:val="both"/>
      </w:pPr>
      <w:r>
        <w:rPr>
          <w:rFonts w:ascii="Times New Roman" w:hAnsi="Times New Roman" w:cs="Times New Roman" w:eastAsia="Times New Roman"/>
          <w:b w:val="false"/>
          <w:sz w:val="26"/>
        </w:rPr>
        <w:t>-	UBND cấp huyện tổ chức thẩm định, báo cáo UBND cấp tỉnh.</w:t>
      </w:r>
    </w:p>
    <w:p>
      <w:pPr>
        <w:spacing w:after="0" w:before="0" w:lineRule="auto" w:line="276"/>
        <w:jc w:val="both"/>
      </w:pPr>
      <w:r>
        <w:rPr>
          <w:rFonts w:ascii="Times New Roman" w:hAnsi="Times New Roman" w:cs="Times New Roman" w:eastAsia="Times New Roman"/>
          <w:b w:val="false"/>
          <w:sz w:val="26"/>
        </w:rPr>
        <w:t>-	UBND cấp tỉnh tổ chức thẩm định, trình Thủ tướng Chính phủ (qua Bộ Nội vụ).</w:t>
      </w:r>
    </w:p>
    <w:p>
      <w:pPr>
        <w:spacing w:after="0" w:before="0" w:lineRule="auto" w:line="276"/>
        <w:jc w:val="both"/>
      </w:pPr>
      <w:r>
        <w:rPr>
          <w:rFonts w:ascii="Times New Roman" w:hAnsi="Times New Roman" w:cs="Times New Roman" w:eastAsia="Times New Roman"/>
          <w:b w:val="false"/>
          <w:sz w:val="26"/>
        </w:rPr>
        <w:t>-	Bộ Nội vụ thẩm định hồ sơ, trình Thủ tướng Chính phủ đề nghị Chủ tịch nước ra Quyết định tặng danh hiệu vinh dự Nhà nước “Bà mẹ Việt Nam anh hùng”.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Cấp xã: Không quá 10 ngày làm việc; -	Cấp huyện: Không quá 15 ngày làm việc; -	Cấp tỉnh: Không quá 15 ngày làm việc; -	Bộ Nội vụ: Không quá 10 ngày làm việc. </w:t>
            </w:r>
          </w:p>
        </w:tc>
        <w:tc>
          <w:p/>
          <w:p>
            <w:pPr>
              <w:spacing w:after="0" w:before="0" w:lineRule="auto" w:line="276"/>
              <w:jc w:val="left"/>
            </w:pPr>
            <w:r>
              <w:rPr>
                <w:rFonts w:ascii="Times New Roman" w:hAnsi="Times New Roman" w:cs="Times New Roman" w:eastAsia="Times New Roman"/>
                <w:b w:val="false"/>
                <w:sz w:val="26"/>
              </w:rPr>
              <w:t>Lệ phí : 0 Đồng</w:t>
            </w:r>
          </w:p>
        </w:tc>
        <w:tc>
          <w:p/>
          <w:p>
            <w:pPr>
              <w:spacing w:after="0" w:before="0" w:lineRule="auto" w:line="276"/>
              <w:jc w:val="left"/>
            </w:pPr>
            <w:r>
              <w:rPr>
                <w:rFonts w:ascii="Times New Roman" w:hAnsi="Times New Roman" w:cs="Times New Roman" w:eastAsia="Times New Roman"/>
                <w:b w:val="false"/>
                <w:sz w:val="26"/>
              </w:rPr>
              <w:t>Cách thức thực hiện: Nộp hồ sơ trực tiếp cho UBND cấp xã nơi đăng ký hộ khẩu thường trú.</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Thành phần hồ sơ 1</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khai cá nhân của đối tượng (01 bản chính)</w:t>
            </w:r>
          </w:p>
        </w:tc>
        <w:tc>
          <w:p/>
          <w:p>
            <w:pPr>
              <w:spacing w:after="0" w:before="0" w:lineRule="auto" w:line="276"/>
              <w:jc w:val="left"/>
            </w:pPr>
            <w:r>
              <w:rPr>
                <w:rFonts w:ascii="Times New Roman" w:hAnsi="Times New Roman" w:cs="Times New Roman" w:eastAsia="Times New Roman"/>
                <w:b w:val="false"/>
                <w:sz w:val="26"/>
              </w:rPr>
              <w:t>BẢN KHAI CÁ NHÂN.doc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Thành phần hồ sơ 2: Giấy tờ làm căn cứ xét duyệt (03 bản sao có chứng thực),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Bằng Tổ quốc ghi công;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Giấy chứng nhận thương binh.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Trường hợp không lưu giữ được giấy tờ làm căn cứ xét duyệt, có đơn gửi Giám đốc Sở Lao động - Thương binh và Xã hội xác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nước</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UBND cấp xã nơi đăng ký hộ khẩu thường trú.</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Ban Thi đua - Khen thưởng Trung ương - Bộ Nội vụ, Phòng Lao động Thương binh Xã hội, Ban Thi đua khen thưởng</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tặng danh hiệu vinh dự Nhà nước “Bà mẹ Việt Nam anh hùng”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05/2012/UBTVQH13</w:t>
            </w:r>
          </w:p>
        </w:tc>
        <w:tc>
          <w:p/>
          <w:p>
            <w:pPr>
              <w:spacing w:after="0" w:before="0" w:lineRule="auto" w:line="276"/>
              <w:jc w:val="left"/>
            </w:pPr>
            <w:r>
              <w:rPr>
                <w:rFonts w:ascii="Times New Roman" w:hAnsi="Times New Roman" w:cs="Times New Roman" w:eastAsia="Times New Roman"/>
                <w:b w:val="false"/>
                <w:sz w:val="26"/>
              </w:rPr>
              <w:t>Pháp lệnh 05/2012/UBTVQH13</w:t>
            </w:r>
          </w:p>
        </w:tc>
        <w:tc>
          <w:p/>
          <w:p>
            <w:pPr>
              <w:spacing w:after="0" w:before="0" w:lineRule="auto" w:line="276"/>
              <w:jc w:val="left"/>
            </w:pPr>
            <w:r>
              <w:rPr>
                <w:rFonts w:ascii="Times New Roman" w:hAnsi="Times New Roman" w:cs="Times New Roman" w:eastAsia="Times New Roman"/>
                <w:b w:val="false"/>
                <w:sz w:val="26"/>
              </w:rPr>
              <w:t>20-10-2012</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56/2013/NĐ-CP</w:t>
            </w:r>
          </w:p>
        </w:tc>
        <w:tc>
          <w:p/>
          <w:p>
            <w:pPr>
              <w:spacing w:after="0" w:before="0" w:lineRule="auto" w:line="276"/>
              <w:jc w:val="left"/>
            </w:pPr>
            <w:r>
              <w:rPr>
                <w:rFonts w:ascii="Times New Roman" w:hAnsi="Times New Roman" w:cs="Times New Roman" w:eastAsia="Times New Roman"/>
                <w:b w:val="false"/>
                <w:sz w:val="26"/>
              </w:rPr>
              <w:t>Nghị định 56/2013/NĐ-CP</w:t>
            </w:r>
          </w:p>
        </w:tc>
        <w:tc>
          <w:p/>
          <w:p>
            <w:pPr>
              <w:spacing w:after="0" w:before="0" w:lineRule="auto" w:line="276"/>
              <w:jc w:val="left"/>
            </w:pPr>
            <w:r>
              <w:rPr>
                <w:rFonts w:ascii="Times New Roman" w:hAnsi="Times New Roman" w:cs="Times New Roman" w:eastAsia="Times New Roman"/>
                <w:b w:val="false"/>
                <w:sz w:val="26"/>
              </w:rPr>
              <w:t>22-05-2013</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2 con trở lên là liệt sĩ; chỉ có 2 con mà 1 con là liệt sĩ và 1 con là thương binh suy giảm khả năng lao động từ 81% trở lên; chỉ có 1 con mà người con đó là liệt sỹ; có 1 con là liệt sĩ và có chồng hoặc bản thân là liệt sĩ; có 1 con là liệt sĩ và bản thân là thương binh suy giảm khả năng lao động từ 81% trở lên.
-	Không thuộc các trường hợp sau: Phản bội, đầu hàng địch, có hành động gây nguy hại cho cách mạng hoặc vi phạm pháp luật bị tòa án xét xử bằng hình thức hình phạt tù mà bản án, quyết định của Tòa án đang có hiệu lực pháp luật (kể cả trường hợp được hưởng án treo).</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2024-03-28T10:25:51Z</dcterms:created>
  <dc:creator>Apache POI</dc:creator>
</cp:coreProperties>
</file>