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1.003046.000.00.00.H56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3196/QĐ-UBND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Sửa chữa sai sót nội dung biện pháp bảo đảm bằng quyền sử dụng đất, tài sản gắn liền với đất đã đăng ký do lỗi của cơ quan đăng ký</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Đăng ký biện pháp bảo đảm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Nộp hồ sơ đến một trong các cơ quan, đơn vị sau đây:
- Tại Văn phòng đăng ký đất đai (số 14 đường Hạc Thành, phường Tân Sơn, thành phố Thanh Hóa, tỉnh Thanh Hóa) 
-  Chi nhánh  Văn phòng đăng ký đất đai tại Bộ phận tiếp nhận hồ sơ và trả kết quả của Văn phòng HĐND và UBND cấp huyện. 
- Ủy ban nhân dân cấp xã nơi có đất trong trường hợp người yêu cầu đăng ký là hộ gia đình, cá nhân có nhu cầu nộp hồ sơ trực tiếp tại Ủy ban nhân dân cấp xã.</w:t>
      </w:r>
    </w:p>
    <w:p>
      <w:pPr>
        <w:spacing w:after="0" w:before="0" w:lineRule="auto" w:line="276"/>
        <w:jc w:val="both"/>
      </w:pPr>
      <w:r>
        <w:rPr>
          <w:rFonts w:ascii="Times New Roman" w:hAnsi="Times New Roman" w:cs="Times New Roman" w:eastAsia="Times New Roman"/>
          <w:b w:val="false"/>
          <w:sz w:val="26"/>
        </w:rPr>
        <w:t>b) Người tiếp nhận kiểm tra hồ sơ đăng ký, trường hợp hồ sơ không hợp lệ thì người tiếp nhận từ chối đăng ký và hướng dẫn hoàn thiện hồ sơ. Trường hợp hồ sơ hợp lệ thì Văn phòng đăng ký đất đai đính chính thông tin sai sót trên Giấy chứng nhận vào sổ đăng ký; chứng nhận việc sửa chữa sai sót vào phiếu yêu cầu sửa chữa sai sót.</w:t>
      </w:r>
    </w:p>
    <w:p>
      <w:pPr>
        <w:spacing w:after="0" w:before="0" w:lineRule="auto" w:line="276"/>
        <w:jc w:val="both"/>
      </w:pPr>
      <w:r>
        <w:rPr>
          <w:rFonts w:ascii="Times New Roman" w:hAnsi="Times New Roman" w:cs="Times New Roman" w:eastAsia="Times New Roman"/>
          <w:b w:val="false"/>
          <w:sz w:val="26"/>
        </w:rPr>
        <w:t>c) Trả kết quả đăng ký tại Văn phòng đăng ký đất đai hoặc Bộ phận tiếp nhận và trả kết quả theo cơ chế một cửa hoặc Ủy ban nhân dân cấp xã trong trường hợp nộp hồ sơ tại Bộ phận tiếp nhận và trả kết quả theo cơ chế một cửa hoặc Ủy ban nhân dân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01 ngày làm việc từ ngày nhận hồ sơ hợp lệ.- Trường hợp nộp hồ sơ đăng ký biện pháp bảo đảm bằng quyền sử dụng đất, tài sản gắn liền với đất tại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trả kết quả theo cơ chế một cửa chuyển đến.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01 ngày làm việc từ ngày nhận hồ sơ hợp lệ.- Trường hợp nộp hồ sơ đăng ký biện pháp bảo đảm bằng quyền sử dụng đất, tài sản gắn liền với đất tại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trả kết quả theo cơ chế một cửa chuyển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Phiếu yêu cầu sửa chữa sai sót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Phiếu yêu cầu đăng ký đã chứng nhận có sai sót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Giấy chứng nhận trong trường hợp nội dung chứng nhận có sai sót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uỷ quyền trong trường hợp người yêu cầu đăng ký là người được ủy quyền (01 bản chính hoặc 01 bản sao có chứng thực hoặc 01 bản sao không có chứng thực kèm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đất đai, Chi nhánh Văn phòng đăng ký đất đai, Ủy ban nhân dân cấp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đất đai, Chi nhánh Văn phòng đăng ký đất đai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Tại Văn phòng đăng ký đất đai (số 14 đường Hạc Thành, phường Tân Sơn, thành phố Thanh Hóa, tỉnh Thanh Hóa)  -  Chi nhánh  Văn phòng đăng ký đất đai tại Bộ phận tiếp nhận hồ sơ và trả kết quả của Văn phòng HĐND và UBND cấp huyện.  - Ủy ban nhân dân cấp xã nơi có đất trong trường hợp người yêu cầu đăng ký là hộ gia đình, cá nhân có nhu cầu nộp hồ sơ trực tiếp tại Ủy ban nhân dân cấp xã. (Khi chưa thành lập Văn phòng đăng ký đất đai, thì Văn phòng đăng ký quyền sử dụng đất tiếp tục thực hiện đăng ký biện pháp bảo đảm theo thẩm quyền cho đến khi thành lập Văn phòng đăng ký đất đai)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Phiếu yêu cầu đăng ký thay đổi, sửa chữa sai sót (có chứng nhận của Văn phòng đăng ký đất đai)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99/2015/NĐ-CP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Nhà ở</w:t>
            </w:r>
          </w:p>
        </w:tc>
        <w:tc>
          <w:p/>
          <w:p>
            <w:pPr>
              <w:spacing w:after="0" w:before="0" w:lineRule="auto" w:line="276"/>
              <w:jc w:val="left"/>
            </w:pPr>
            <w:r>
              <w:rPr>
                <w:rFonts w:ascii="Times New Roman" w:hAnsi="Times New Roman" w:cs="Times New Roman" w:eastAsia="Times New Roman"/>
                <w:b w:val="false"/>
                <w:sz w:val="26"/>
              </w:rPr>
              <w:t>20-10-2015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97/2015/QH13</w:t>
            </w:r>
          </w:p>
        </w:tc>
        <w:tc>
          <w:p/>
          <w:p>
            <w:pPr>
              <w:spacing w:after="0" w:before="0" w:lineRule="auto" w:line="276"/>
              <w:jc w:val="left"/>
            </w:pPr>
            <w:r>
              <w:rPr>
                <w:rFonts w:ascii="Times New Roman" w:hAnsi="Times New Roman" w:cs="Times New Roman" w:eastAsia="Times New Roman"/>
                <w:b w:val="false"/>
                <w:sz w:val="26"/>
              </w:rPr>
              <w:t>Phí và lệ phí</w:t>
            </w:r>
          </w:p>
        </w:tc>
        <w:tc>
          <w:p/>
          <w:p>
            <w:pPr>
              <w:spacing w:after="0" w:before="0" w:lineRule="auto" w:line="276"/>
              <w:jc w:val="left"/>
            </w:pPr>
            <w:r>
              <w:rPr>
                <w:rFonts w:ascii="Times New Roman" w:hAnsi="Times New Roman" w:cs="Times New Roman" w:eastAsia="Times New Roman"/>
                <w:b w:val="false"/>
                <w:sz w:val="26"/>
              </w:rPr>
              <w:t>25-11-2015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102/2017/NĐ-CP</w:t>
            </w:r>
          </w:p>
        </w:tc>
        <w:tc>
          <w:p/>
          <w:p>
            <w:pPr>
              <w:spacing w:after="0" w:before="0" w:lineRule="auto" w:line="276"/>
              <w:jc w:val="left"/>
            </w:pPr>
            <w:r>
              <w:rPr>
                <w:rFonts w:ascii="Times New Roman" w:hAnsi="Times New Roman" w:cs="Times New Roman" w:eastAsia="Times New Roman"/>
                <w:b w:val="false"/>
                <w:sz w:val="26"/>
              </w:rPr>
              <w:t>Về đăng ký biện pháp bảo đảm</w:t>
            </w:r>
          </w:p>
        </w:tc>
        <w:tc>
          <w:p/>
          <w:p>
            <w:pPr>
              <w:spacing w:after="0" w:before="0" w:lineRule="auto" w:line="276"/>
              <w:jc w:val="left"/>
            </w:pPr>
            <w:r>
              <w:rPr>
                <w:rFonts w:ascii="Times New Roman" w:hAnsi="Times New Roman" w:cs="Times New Roman" w:eastAsia="Times New Roman"/>
                <w:b w:val="false"/>
                <w:sz w:val="26"/>
              </w:rPr>
              <w:t>01-09-2017</w:t>
            </w:r>
          </w:p>
        </w:tc>
        <w:tc>
          <w:p/>
        </w:tc>
      </w:tr>
      <w:tr>
        <w:tc>
          <w:p/>
          <w:p>
            <w:pPr>
              <w:spacing w:after="0" w:before="0" w:lineRule="auto" w:line="276"/>
              <w:jc w:val="left"/>
            </w:pPr>
            <w:r>
              <w:rPr>
                <w:rFonts w:ascii="Times New Roman" w:hAnsi="Times New Roman" w:cs="Times New Roman" w:eastAsia="Times New Roman"/>
                <w:b w:val="false"/>
                <w:sz w:val="26"/>
              </w:rPr>
              <w:t>07/2019/TT-BTP</w:t>
            </w:r>
          </w:p>
        </w:tc>
        <w:tc>
          <w:p/>
          <w:p>
            <w:pPr>
              <w:spacing w:after="0" w:before="0" w:lineRule="auto" w:line="276"/>
              <w:jc w:val="left"/>
            </w:pPr>
            <w:r>
              <w:rPr>
                <w:rFonts w:ascii="Times New Roman" w:hAnsi="Times New Roman" w:cs="Times New Roman" w:eastAsia="Times New Roman"/>
                <w:b w:val="false"/>
                <w:sz w:val="26"/>
              </w:rPr>
              <w:t>Thông tư 07/2019/TT-BTP</w:t>
            </w:r>
          </w:p>
        </w:tc>
        <w:tc>
          <w:p/>
          <w:p>
            <w:pPr>
              <w:spacing w:after="0" w:before="0" w:lineRule="auto" w:line="276"/>
              <w:jc w:val="left"/>
            </w:pPr>
            <w:r>
              <w:rPr>
                <w:rFonts w:ascii="Times New Roman" w:hAnsi="Times New Roman" w:cs="Times New Roman" w:eastAsia="Times New Roman"/>
                <w:b w:val="false"/>
                <w:sz w:val="26"/>
              </w:rPr>
              <w:t>25-11-2019</w:t>
            </w:r>
          </w:p>
        </w:tc>
        <w:tc>
          <w:p/>
        </w:tc>
      </w:tr>
      <w:tr>
        <w:tc>
          <w:p/>
          <w:p>
            <w:pPr>
              <w:spacing w:after="0" w:before="0" w:lineRule="auto" w:line="276"/>
              <w:jc w:val="left"/>
            </w:pPr>
            <w:r>
              <w:rPr>
                <w:rFonts w:ascii="Times New Roman" w:hAnsi="Times New Roman" w:cs="Times New Roman" w:eastAsia="Times New Roman"/>
                <w:b w:val="false"/>
                <w:sz w:val="26"/>
              </w:rPr>
              <w:t>289/2022/NQ-HĐND</w:t>
            </w:r>
          </w:p>
        </w:tc>
        <w:tc>
          <w:p/>
          <w:p>
            <w:pPr>
              <w:spacing w:after="0" w:before="0" w:lineRule="auto" w:line="276"/>
              <w:jc w:val="left"/>
            </w:pPr>
            <w:r>
              <w:rPr>
                <w:rFonts w:ascii="Times New Roman" w:hAnsi="Times New Roman" w:cs="Times New Roman" w:eastAsia="Times New Roman"/>
                <w:b w:val="false"/>
                <w:sz w:val="26"/>
              </w:rPr>
              <w:t>Nghị quyết ban hành mức thu, miễn, giảm, thu, nộp quản lý và sử dụng các khoản phí, lệ phí thuộc Hội đồng nhân dân tỉnh</w:t>
            </w:r>
          </w:p>
        </w:tc>
        <w:tc>
          <w:p/>
          <w:p>
            <w:pPr>
              <w:spacing w:after="0" w:before="0" w:lineRule="auto" w:line="276"/>
              <w:jc w:val="left"/>
            </w:pPr>
            <w:r>
              <w:rPr>
                <w:rFonts w:ascii="Times New Roman" w:hAnsi="Times New Roman" w:cs="Times New Roman" w:eastAsia="Times New Roman"/>
                <w:b w:val="false"/>
                <w:sz w:val="26"/>
              </w:rPr>
              <w:t>13-07-2022</w:t>
            </w:r>
          </w:p>
        </w:tc>
        <w:tc>
          <w:p/>
          <w:p>
            <w:pPr>
              <w:spacing w:after="0" w:before="0" w:lineRule="auto" w:line="276"/>
              <w:jc w:val="left"/>
            </w:pPr>
            <w:r>
              <w:rPr>
                <w:rFonts w:ascii="Times New Roman" w:hAnsi="Times New Roman" w:cs="Times New Roman" w:eastAsia="Times New Roman"/>
                <w:b w:val="false"/>
                <w:sz w:val="26"/>
              </w:rPr>
              <w:t>Hội đồng nhân dân tỉnh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2024-03-28T22:00:32Z</dcterms:created>
  <dc:creator>Apache POI</dc:creator>
</cp:coreProperties>
</file>