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1.003159.000.00.00.H32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2130/QĐ-UBND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Hỗ trợ, di chuyển hài cốt liệt sĩ</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Nơi quản lý hồ sơ gốc của liệt sĩ:
a) Thân nhân hoặc người thờ cúng liệt sĩ có nguyện vọng di chuyển hài cốt liệt sĩ gửi Phòng Lao động - Thương binh và Xã hội các giấy tờ sau:
- Đơn đề nghị di chuyển hài cốt liệt sĩ (mẫu số 12-MLS) có xác nhận của Ủy ban nhân dân cấp xã nơi cư trú;
- Bản sao giấy chứng nhận gia đình liệt sĩ hoặc bản sao Bằng “Tổ quốc ghi công”;
- Một trong các giấy tờ sau: giấy báo tin mộ liệt sĩ của Sở Lao động - Thương binh và Xã hội hoặc giấy xác nhận mộ liệt sĩ của cơ quan quản lý nghĩa trang liệt sĩ nơi an táng mộ liệt sĩ;
Trường hợp người di chuyển hài cốt liệt sĩ không phải là thân nhân hoặc người thờ cúng liệt sĩ thì phải có thêm giấy ủy quyền của thân nhân liệt sĩ hoặc người thờ cúng liệt sĩ.
b) Ủy ban nhân dân cấp xã trong thời gian 01 ngày làm việc có trách nhiệm xác nhận vào đơn đề nghị di chuyển hài cốt liệt sĩ.
c) Phòng Lao động - Thương binh và Xã hội trong thời gian 03 ngày làm việc kể từ ngày nhận được đơn di chuyển hài cốt liệt sĩ có trách nhiệm cấp giấy giới thiệu di chuyển hài cốt liệt sĩ (mẫu số 03-GGT).
Trường hợp giấy tờ nộp không hợp lệ thì trong thời gian 03 ngày làm việc phải gửi văn bản trả lời nêu rõ lý do kèm toàn bộ giấy tờ đã nộp cho người đứng đơn để hoàn thiện theo quy định</w:t>
      </w:r>
    </w:p>
    <w:p>
      <w:pPr>
        <w:spacing w:after="0" w:before="0" w:lineRule="auto" w:line="276"/>
        <w:jc w:val="both"/>
      </w:pPr>
      <w:r>
        <w:rPr>
          <w:rFonts w:ascii="Times New Roman" w:hAnsi="Times New Roman" w:cs="Times New Roman" w:eastAsia="Times New Roman"/>
          <w:b w:val="false"/>
          <w:sz w:val="26"/>
        </w:rPr>
        <w:t>Bước 2: Nơi quản lý mộ liệt sĩ:
a) Sở Lao động - Thương binh và Xã hội căn cứ các giấy tờ theo quy định để giải quyết việc di chuyển hài cốt liệt sĩ;
b) Phòng Lao động - Thương binh và Xã hội có trách nhiệm:
- Phối hợp với Ban quản lý nghĩa trang liệt sĩ hoặc Ủy ban nhân dân cấp xã (trường hợp không có Ban quản lý nghĩa trang liệt sĩ) lập biên bản bàn giao hài cốt liệt sĩ (mẫu số 13-MLS);
- Lưu giấy đề nghị di chuyển hài cốt liệt sĩ, biên bản bàn giao hài cốt liệt sĩ;
- Lập Phiếu báo di chuyển hài cốt liệt sĩ (mẫu số 14-MLS) để gửi Sở Lao động - Thương binh và Xã hội nơi quản lý hồ sơ gốc của liệt sĩ và nơi an táng hài cốt liệt sĩ (đối với trường hợp hài cốt liệt sĩ sau di chuyển không an táng tại địa phương đang quản lý hồ sơ gốc) kèm theo biên bản bàn giao hài cốt liệt sĩ.
- Kiểm tra thủ tục, căn cứ giấy giới thiệu di chuyển hài cốt liệt sĩ và văn bản của Sở Lao động - Thương binh và Xã hội về việc giải quyết di chuyển hài cốt liệt sĩ thực hiện chi hỗ trợ theo quy định  cho thân nhân liệt sĩ hoặc người thờ cúng liệt sĩ trong thời gian 01 ngày làm việc kể từ ngày nhận được các giấy tờ hợp lệ theo quy định.</w:t>
      </w:r>
    </w:p>
    <w:p>
      <w:pPr>
        <w:spacing w:after="0" w:before="0" w:lineRule="auto" w:line="276"/>
        <w:jc w:val="both"/>
      </w:pPr>
      <w:r>
        <w:rPr>
          <w:rFonts w:ascii="Times New Roman" w:hAnsi="Times New Roman" w:cs="Times New Roman" w:eastAsia="Times New Roman"/>
          <w:b w:val="false"/>
          <w:sz w:val="26"/>
        </w:rPr>
        <w:t>Bước 3: Nơi đón nhận và an táng hài cốt liệt sĩ:
a) Ủy ban nhân dân cấp xã có trách nhiệm:
- Tổ chức lễ đón nhận và an táng hài cốt liệt sĩ;
- Xác nhận việc an táng mộ liệt sĩ do gia đình quản lý theo nguyện vọng của thân nhân liệt sĩ hoặc người thờ cúng liệt sĩ (mẫu số 15-MLS).
b) Phòng Lao động - Thương binh và Xã hội có trách nhiệm lưu Phiếu báo di chuyển hài cốt liệt sĩ do Phòng Lao động - Thương binh và Xã hội quản lý mộ chuyển đến trong hồ sơ quản lý mộ liệt sĩ.</w:t>
      </w:r>
    </w:p>
    <w:p>
      <w:pPr>
        <w:spacing w:after="0" w:before="0" w:lineRule="auto" w:line="276"/>
        <w:jc w:val="both"/>
      </w:pPr>
      <w:r>
        <w:rPr>
          <w:rFonts w:ascii="Times New Roman" w:hAnsi="Times New Roman" w:cs="Times New Roman" w:eastAsia="Times New Roman"/>
          <w:b w:val="false"/>
          <w:sz w:val="26"/>
        </w:rPr>
        <w:t>Bước 4: Phòng LĐTBXH nơi quản lý hồ sơ gốc của liệt sĩ căn cứ xác nhận của Ủy ban nhân dân cấp xã về việc an táng mộ liệt sĩ tại nghĩa trang dòng họ do gia đình quản lý thực hiện chi hỗ trợ theo quy cho thân nhân liệt sĩ hoặc người thờ cúng liệt sĩ trong thời gian 01 ngày làm việc kể từ ngày nhận được các giấy tờ hợp lệ theo quy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06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di chuyển hài cốt liệt sĩ (mẫu số 12-MLS) có xác nhận của Ủy ban nhân dân cấp xã nơi cư trú</w:t>
            </w:r>
          </w:p>
        </w:tc>
        <w:tc>
          <w:p/>
          <w:p>
            <w:pPr>
              <w:spacing w:after="0" w:before="0" w:lineRule="auto" w:line="276"/>
              <w:jc w:val="left"/>
            </w:pPr>
            <w:r>
              <w:rPr>
                <w:rFonts w:ascii="Times New Roman" w:hAnsi="Times New Roman" w:cs="Times New Roman" w:eastAsia="Times New Roman"/>
                <w:b w:val="false"/>
                <w:sz w:val="26"/>
              </w:rPr>
              <w:t>12 MLS.docx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chứng nhận gia đình liệt sĩ hoặc bản sao Bằng “Tổ quốc ghi công”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Một trong các giấy tờ sau: giấy báo tin mộ liệt sĩ của Sở Lao động - Thương binh và Xã hội hoặc giấy xác nhận mộ liệt sĩ của cơ quan quản lý nghĩa trang liệt sĩ nơi an táng mộ liệt sĩ</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Lao động-Thương binh và Xã hội, Ủy ban Nhân dân xã, phường, thị trấn., Phòng Lao động- Thương Binh và Xã hội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Lao động-Thương binh và Xã hội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Phòng Lao động - Thương binh và Xã hộ</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Hài cốt liệt sĩ được di chuyển theo nguyện vọng của thân nhân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04/2012/UBTVQH13</w:t>
            </w:r>
          </w:p>
        </w:tc>
        <w:tc>
          <w:p/>
          <w:p>
            <w:pPr>
              <w:spacing w:after="0" w:before="0" w:lineRule="auto" w:line="276"/>
              <w:jc w:val="left"/>
            </w:pPr>
            <w:r>
              <w:rPr>
                <w:rFonts w:ascii="Times New Roman" w:hAnsi="Times New Roman" w:cs="Times New Roman" w:eastAsia="Times New Roman"/>
                <w:b w:val="false"/>
                <w:sz w:val="26"/>
              </w:rPr>
              <w:t>Pháp lệnh 04/2012/UBTVQH13 - Sửa đổi, bổ sung một số điều của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16-07-2012</w:t>
            </w:r>
          </w:p>
        </w:tc>
        <w:tc>
          <w:p/>
          <w:p>
            <w:pPr>
              <w:spacing w:after="0" w:before="0" w:lineRule="auto" w:line="276"/>
              <w:jc w:val="left"/>
            </w:pPr>
            <w:r>
              <w:rPr>
                <w:rFonts w:ascii="Times New Roman" w:hAnsi="Times New Roman" w:cs="Times New Roman" w:eastAsia="Times New Roman"/>
                <w:b w:val="false"/>
                <w:sz w:val="26"/>
              </w:rPr>
              <w:t>Ủy ban thường vụ quốc hội</w:t>
            </w:r>
          </w:p>
        </w:tc>
      </w:tr>
      <w:tr>
        <w:tc>
          <w:p/>
          <w:p>
            <w:pPr>
              <w:spacing w:after="0" w:before="0" w:lineRule="auto" w:line="276"/>
              <w:jc w:val="left"/>
            </w:pPr>
            <w:r>
              <w:rPr>
                <w:rFonts w:ascii="Times New Roman" w:hAnsi="Times New Roman" w:cs="Times New Roman" w:eastAsia="Times New Roman"/>
                <w:b w:val="false"/>
                <w:sz w:val="26"/>
              </w:rPr>
              <w:t>31/2013/NĐ-CP</w:t>
            </w:r>
          </w:p>
        </w:tc>
        <w:tc>
          <w:p/>
          <w:p>
            <w:pPr>
              <w:spacing w:after="0" w:before="0" w:lineRule="auto" w:line="276"/>
              <w:jc w:val="left"/>
            </w:pPr>
            <w:r>
              <w:rPr>
                <w:rFonts w:ascii="Times New Roman" w:hAnsi="Times New Roman" w:cs="Times New Roman" w:eastAsia="Times New Roman"/>
                <w:b w:val="false"/>
                <w:sz w:val="26"/>
              </w:rPr>
              <w:t>Nghị định 31/2013/NĐ-CP - Hướng dẫn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09-04-2013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13/2014/TTLT-BLĐTBXH-BTC</w:t>
            </w:r>
          </w:p>
        </w:tc>
        <w:tc>
          <w:p/>
          <w:p>
            <w:pPr>
              <w:spacing w:after="0" w:before="0" w:lineRule="auto" w:line="276"/>
              <w:jc w:val="left"/>
            </w:pPr>
            <w:r>
              <w:rPr>
                <w:rFonts w:ascii="Times New Roman" w:hAnsi="Times New Roman" w:cs="Times New Roman" w:eastAsia="Times New Roman"/>
                <w:b w:val="false"/>
                <w:sz w:val="26"/>
              </w:rPr>
              <w:t>Thông tư liên tịch 13/2014/TTLT-BLĐTBXH-BTC - Hướng dẫn chế độ điều dưỡng phục hồi sức khỏe, cấp phương tiện trợ giúp, dụng cụ chỉnh hình đối với người có công với cách mạng và thân nhân; quản lý các công trình ghi công liệt sĩ</w:t>
            </w:r>
          </w:p>
        </w:tc>
        <w:tc>
          <w:p/>
          <w:p>
            <w:pPr>
              <w:spacing w:after="0" w:before="0" w:lineRule="auto" w:line="276"/>
              <w:jc w:val="left"/>
            </w:pPr>
            <w:r>
              <w:rPr>
                <w:rFonts w:ascii="Times New Roman" w:hAnsi="Times New Roman" w:cs="Times New Roman" w:eastAsia="Times New Roman"/>
                <w:b w:val="false"/>
                <w:sz w:val="26"/>
              </w:rPr>
              <w:t>03-06-2014</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2024-03-28T19:54:00Z</dcterms:created>
  <dc:creator>Apache POI</dc:creator>
</cp:coreProperties>
</file>