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1.003221.000.00.00.H56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đề cương, kết quả kiểm định an toàn đập, hồ chứa thủy lợi thuộc thẩm quyền của UBND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Nộp hồ sơ: Tổ chức, cá nhân nộp hồ sơ đề nghị phê duyệt đề cương kiểm định an toàn đập, hồ chứa thủy lợi đến Sở Nông nghiệp và PTNT.</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hồ sơ, cơ quan tiếp nhận hồ sơ có trách nhiệm xem xét, kiểm tra hồ sơ; trường hợp hồ sơ không hợp lệ, cơ quan tiếp nhận hồ sơ thông báo cho tổ chức, cá nhân đề nghị phê duyệt đề cương kiểm định an toàn đập, hồ chứa thủy lợi để hoàn chỉnh hồ sơ theo quy định.</w:t>
      </w:r>
    </w:p>
    <w:p>
      <w:pPr>
        <w:spacing w:after="0" w:before="0" w:lineRule="auto" w:line="276"/>
        <w:jc w:val="both"/>
      </w:pPr>
      <w:r>
        <w:rPr>
          <w:rFonts w:ascii="Times New Roman" w:hAnsi="Times New Roman" w:cs="Times New Roman" w:eastAsia="Times New Roman"/>
          <w:b w:val="false"/>
          <w:sz w:val="26"/>
        </w:rPr>
        <w:t>Bước 3: Trong thời hạn 15 ngày làm việc, kể từ ngày nhận đủ hồ sơ hợp lệ, cơ quan tiếp nhận hồ sơ có trách nhiệm thẩm định hồ sơ, kiểm tra thực tế hiện trường khi cần thiết,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theo quy định.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đề cương kiểm định an toàn đập, hồ chứa thủy lợi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liên quan khác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Đề cương, kết quả kiểm định được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thủy lợi</w:t>
            </w:r>
          </w:p>
        </w:tc>
        <w:tc>
          <w:p/>
          <w:p>
            <w:pPr>
              <w:spacing w:after="0" w:before="0" w:lineRule="auto" w:line="276"/>
              <w:jc w:val="left"/>
            </w:pPr>
            <w:r>
              <w:rPr>
                <w:rFonts w:ascii="Times New Roman" w:hAnsi="Times New Roman" w:cs="Times New Roman" w:eastAsia="Times New Roman"/>
                <w:b w:val="false"/>
                <w:sz w:val="26"/>
              </w:rPr>
              <w:t>19-06-2018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quản lý an toàn đập, hồ chứa nước</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2024-03-29T09:13:44Z</dcterms:created>
  <dc:creator>Apache POI</dc:creator>
</cp:coreProperties>
</file>