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1.003542</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2060/QĐ-BKHCN</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cấp Giấy chứng nhận tổ chức đủ điều kiện hoạt động giám định sở hữu công nghiệp (cấp tỉnh)</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Sở hữu trí tuệ</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Bước 1: Tiếp nhận hồ sơ</w:t>
      </w:r>
    </w:p>
    <w:p>
      <w:pPr>
        <w:spacing w:after="0" w:before="0" w:lineRule="auto" w:line="276"/>
        <w:jc w:val="both"/>
      </w:pPr>
      <w:r>
        <w:rPr>
          <w:rFonts w:ascii="Times New Roman" w:hAnsi="Times New Roman" w:cs="Times New Roman" w:eastAsia="Times New Roman"/>
          <w:b w:val="false"/>
          <w:sz w:val="26"/>
        </w:rPr>
        <w:t>Hồ sơ yêu cầu có thể được nộp trực tiếp hoặc qua bưu điện tới trụ sở Sở Khoa học và Công nghệ tại các địa phương.</w:t>
      </w:r>
    </w:p>
    <w:p>
      <w:pPr>
        <w:spacing w:after="0" w:before="0" w:lineRule="auto" w:line="276"/>
        <w:jc w:val="both"/>
      </w:pPr>
      <w:r>
        <w:rPr>
          <w:rFonts w:ascii="Times New Roman" w:hAnsi="Times New Roman" w:cs="Times New Roman" w:eastAsia="Times New Roman"/>
          <w:b w:val="false"/>
          <w:sz w:val="26"/>
        </w:rPr>
        <w:t>- Bước 2: Thẩm định hồ sơ:</w:t>
      </w:r>
    </w:p>
    <w:p>
      <w:pPr>
        <w:spacing w:after="0" w:before="0" w:lineRule="auto" w:line="276"/>
        <w:jc w:val="both"/>
      </w:pPr>
      <w:r>
        <w:rPr>
          <w:rFonts w:ascii="Times New Roman" w:hAnsi="Times New Roman" w:cs="Times New Roman" w:eastAsia="Times New Roman"/>
          <w:b w:val="false"/>
          <w:sz w:val="26"/>
        </w:rPr>
        <w:t>+ Trường hợp hồ sơ đáp ứng các quy định, Giám đốc Sở Khoa học và Công nghệ ra quyết định cấp Giấy chứng nhận tổ chức đủ điều kiện hoạt động giám định sở hữu công nghiệp;</w:t>
      </w:r>
    </w:p>
    <w:p>
      <w:pPr>
        <w:spacing w:after="0" w:before="0" w:lineRule="auto" w:line="276"/>
        <w:jc w:val="both"/>
      </w:pPr>
      <w:r>
        <w:rPr>
          <w:rFonts w:ascii="Times New Roman" w:hAnsi="Times New Roman" w:cs="Times New Roman" w:eastAsia="Times New Roman"/>
          <w:b w:val="false"/>
          <w:sz w:val="26"/>
        </w:rPr>
        <w:t>+ Trường hợp hồ sơ thiếu sót hoặc không đáp ứng các quy định, Giám đốc Sở Khoa học và Công nghệ ra thông báo dự định từ chối chấp nhận hồ sơ, nêu rõ lý do để tổ chức nộp hồ sơ sửa chữa hoặc có ý kiến phản đối. Nếu tổ chức nộp hồ sơ không sửa chữa thiếu sót, hoặc sửa chữa không đạt yêu cầu, không có ý kiến phản đối hoặc ý kiến phản đối không xác đáng, Giám đốc Sở Khoa học và Công nghệ ra quyết định từ chối cấp Giấy chứng nhận tổ chức giám định (nêu rõ lý do).</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1 Tháng</w:t>
            </w:r>
          </w:p>
        </w:tc>
        <w:tc>
          <w:p/>
          <w:p>
            <w:pPr>
              <w:spacing w:after="0" w:before="0" w:lineRule="auto" w:line="276"/>
              <w:jc w:val="left"/>
            </w:pPr>
            <w:r>
              <w:rPr>
                <w:rFonts w:ascii="Times New Roman" w:hAnsi="Times New Roman" w:cs="Times New Roman" w:eastAsia="Times New Roman"/>
                <w:b w:val="false"/>
                <w:sz w:val="26"/>
              </w:rPr>
              <w:t>Phí : 250.000 Đồng</w:t>
              <w:t xml:space="preserve"> (Phí thẩm định hồ sơ yêu cầu cấp Giấy chứng nhận tổ chức giám định sở hữu công nghiệp)</w:t>
            </w:r>
          </w:p>
        </w:tc>
        <w:tc>
          <w:p/>
          <w:p>
            <w:pPr>
              <w:spacing w:after="0" w:before="0" w:lineRule="auto" w:line="276"/>
              <w:jc w:val="left"/>
            </w:pPr>
            <w:r>
              <w:rPr>
                <w:rFonts w:ascii="Times New Roman" w:hAnsi="Times New Roman" w:cs="Times New Roman" w:eastAsia="Times New Roman"/>
                <w:b w:val="false"/>
                <w:sz w:val="26"/>
              </w:rPr>
              <w:t>- Nộp trực tiếp tại trụ sở Sở Khoa học và Công nghệ tại các địa phương 
- 01 tháng kể từ ngày tiếp nhận hồ sơ.</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1 Tháng</w:t>
            </w:r>
          </w:p>
        </w:tc>
        <w:tc>
          <w:p/>
          <w:p>
            <w:pPr>
              <w:spacing w:after="0" w:before="0" w:lineRule="auto" w:line="276"/>
              <w:jc w:val="left"/>
            </w:pPr>
            <w:r>
              <w:rPr>
                <w:rFonts w:ascii="Times New Roman" w:hAnsi="Times New Roman" w:cs="Times New Roman" w:eastAsia="Times New Roman"/>
                <w:b w:val="false"/>
                <w:sz w:val="26"/>
              </w:rPr>
              <w:t>Phí : 250.000 Đồng</w:t>
              <w:t xml:space="preserve"> (Phí thẩm định hồ sơ yêu cầu cấp Giấy chứng nhận tổ chức giám định sở hữu công nghiệp)</w:t>
            </w:r>
          </w:p>
        </w:tc>
        <w:tc>
          <w:p/>
          <w:p>
            <w:pPr>
              <w:spacing w:after="0" w:before="0" w:lineRule="auto" w:line="276"/>
              <w:jc w:val="left"/>
            </w:pPr>
            <w:r>
              <w:rPr>
                <w:rFonts w:ascii="Times New Roman" w:hAnsi="Times New Roman" w:cs="Times New Roman" w:eastAsia="Times New Roman"/>
                <w:b w:val="false"/>
                <w:sz w:val="26"/>
              </w:rPr>
              <w:t>- Nộp qua bưu điện
- 01 tháng kể từ ngày tiếp nhận hồ sơ.</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Tờ khai (02 bản);</w:t>
            </w:r>
          </w:p>
        </w:tc>
        <w:tc>
          <w:p/>
          <w:p>
            <w:pPr>
              <w:spacing w:after="0" w:before="0" w:lineRule="auto" w:line="276"/>
              <w:jc w:val="left"/>
            </w:pPr>
            <w:r>
              <w:rPr>
                <w:rFonts w:ascii="Times New Roman" w:hAnsi="Times New Roman" w:cs="Times New Roman" w:eastAsia="Times New Roman"/>
                <w:b w:val="false"/>
                <w:sz w:val="26"/>
              </w:rPr>
              <w:t>to khai yeu cau cap, cap lai giay chung nhan to chuc du dieu kien hoat dong giam dinh shcn.doc</w:t>
            </w:r>
          </w:p>
        </w:tc>
        <w:tc>
          <w:p/>
          <w:p>
            <w:pPr>
              <w:spacing w:after="0" w:before="0" w:lineRule="auto" w:line="276"/>
              <w:jc w:val="left"/>
            </w:pPr>
            <w:r>
              <w:rPr>
                <w:rFonts w:ascii="Times New Roman" w:hAnsi="Times New Roman" w:cs="Times New Roman" w:eastAsia="Times New Roman"/>
                <w:b w:val="false"/>
                <w:sz w:val="26"/>
              </w:rPr>
              <w:t xml:space="preserve">Bản chính: </w:t>
              <w:t>2</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Bản sao Giấy chứng nhận đăng ký doanh nghiệp (đối với doanh nghiệp), Giấy chứng nhận đăng ký kinh doanh (đối với hợp tác xã, liên hiệp hợp tác xã), Giấy chứng nhận đăng ký hoạt động khoa học và công nghệ (đối với đơn vị sự nghiệp là tổ chức khoa học và công nghệ), Quyết định thành lập và Giấy đăng ký hoạt động (nếu pháp luật quy định phải đăng ký hoạt động - đối với đơn vị sự nghiệp không phải là tổ chức khoa học và công nghệ) hoặc Giấy đăng ký hoạt động đối với tổ chức hành nghề luật sư (xuất trình bản chính để đối chiếu, trừ trường hợp bản sao đã được chứng thực);</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 Bản sao quyết định tuyển dụng hoặc hợp đồng lao động giữa tổ chức và giám định viên sở hữu công nghiệp hoạt động cho tổ chức (xuất trình bản chính để đối chiếu, trừ trường hợp bản sao đã được chứng thực);</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 Bản sao chứng từ nộp phí, lệ phí (trường hợp nộp phí, lệ phí qua dịch vụ bưu chính hoặc nộp trực tiếp vào tài khoản của Sở Khoa học và Công nghệ).</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Doanh nghiệp, Doanh nghiệp có vốn đầu tư nước ngoài, 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Khoa học và Công nghệ</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chứng nhận tổ chức đủ điều kiện hoạt động giám định sở hữu công nghiệp (Cấp tỉnh), Quyết định cấp Giấy chứng nhận tổ chức đủ điều kiện hoạt động giám định sở hữu công nghiệp (cấp tỉnh), Quyết định từ chối cấp Giấy chứng nhận tổ chức đủ điều kiện hoạt động giám định sở hữu công nghiệp (cấp tỉnh)</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263/2016/TT-BTC</w:t>
            </w:r>
          </w:p>
        </w:tc>
        <w:tc>
          <w:p/>
          <w:p>
            <w:pPr>
              <w:spacing w:after="0" w:before="0" w:lineRule="auto" w:line="276"/>
              <w:jc w:val="left"/>
            </w:pPr>
            <w:r>
              <w:rPr>
                <w:rFonts w:ascii="Times New Roman" w:hAnsi="Times New Roman" w:cs="Times New Roman" w:eastAsia="Times New Roman"/>
                <w:b w:val="false"/>
                <w:sz w:val="26"/>
              </w:rPr>
              <w:t>Thông tư 263/2016/TT-BTC-Quy định mức thu, chế độ thu, nộp, quản lý và sử dụng phí, lệ phí sở hữu công nghiệp</w:t>
            </w:r>
          </w:p>
        </w:tc>
        <w:tc>
          <w:p/>
          <w:p>
            <w:pPr>
              <w:spacing w:after="0" w:before="0" w:lineRule="auto" w:line="276"/>
              <w:jc w:val="left"/>
            </w:pPr>
            <w:r>
              <w:rPr>
                <w:rFonts w:ascii="Times New Roman" w:hAnsi="Times New Roman" w:cs="Times New Roman" w:eastAsia="Times New Roman"/>
                <w:b w:val="false"/>
                <w:sz w:val="26"/>
              </w:rPr>
              <w:t>14-11-2016</w:t>
            </w:r>
          </w:p>
        </w:tc>
        <w:tc>
          <w:p/>
          <w:p>
            <w:pPr>
              <w:spacing w:after="0" w:before="0" w:lineRule="auto" w:line="276"/>
              <w:jc w:val="left"/>
            </w:pPr>
            <w:r>
              <w:rPr>
                <w:rFonts w:ascii="Times New Roman" w:hAnsi="Times New Roman" w:cs="Times New Roman" w:eastAsia="Times New Roman"/>
                <w:b w:val="false"/>
                <w:sz w:val="26"/>
              </w:rPr>
              <w:t>Bộ Tài chính</w:t>
            </w:r>
          </w:p>
        </w:tc>
      </w:tr>
      <w:tr>
        <w:tc>
          <w:p/>
          <w:p>
            <w:pPr>
              <w:spacing w:after="0" w:before="0" w:lineRule="auto" w:line="276"/>
              <w:jc w:val="left"/>
            </w:pPr>
            <w:r>
              <w:rPr>
                <w:rFonts w:ascii="Times New Roman" w:hAnsi="Times New Roman" w:cs="Times New Roman" w:eastAsia="Times New Roman"/>
                <w:b w:val="false"/>
                <w:sz w:val="26"/>
              </w:rPr>
              <w:t>105/2006/NĐ-CP</w:t>
            </w:r>
          </w:p>
        </w:tc>
        <w:tc>
          <w:p/>
          <w:p>
            <w:pPr>
              <w:spacing w:after="0" w:before="0" w:lineRule="auto" w:line="276"/>
              <w:jc w:val="left"/>
            </w:pPr>
            <w:r>
              <w:rPr>
                <w:rFonts w:ascii="Times New Roman" w:hAnsi="Times New Roman" w:cs="Times New Roman" w:eastAsia="Times New Roman"/>
                <w:b w:val="false"/>
                <w:sz w:val="26"/>
              </w:rPr>
              <w:t>Nghị định số 105/2006/NĐ-CP ngày 22/9/2006 của Chính phủ quy định chi tiết và hướng dẫn thi hành một số điều của Luật Sở hữu trí tuệ về bảo vệ quyền sở hữu trí tuệ và quản lý nhà nước về sở hữu trí tuệ</w:t>
            </w:r>
          </w:p>
        </w:tc>
        <w:tc>
          <w:p/>
          <w:p>
            <w:pPr>
              <w:spacing w:after="0" w:before="0" w:lineRule="auto" w:line="276"/>
              <w:jc w:val="left"/>
            </w:pPr>
            <w:r>
              <w:rPr>
                <w:rFonts w:ascii="Times New Roman" w:hAnsi="Times New Roman" w:cs="Times New Roman" w:eastAsia="Times New Roman"/>
                <w:b w:val="false"/>
                <w:sz w:val="26"/>
              </w:rPr>
              <w:t>22-09-2006</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01/2008/TT-BKHCN</w:t>
            </w:r>
          </w:p>
        </w:tc>
        <w:tc>
          <w:p/>
          <w:p>
            <w:pPr>
              <w:spacing w:after="0" w:before="0" w:lineRule="auto" w:line="276"/>
              <w:jc w:val="left"/>
            </w:pPr>
            <w:r>
              <w:rPr>
                <w:rFonts w:ascii="Times New Roman" w:hAnsi="Times New Roman" w:cs="Times New Roman" w:eastAsia="Times New Roman"/>
                <w:b w:val="false"/>
                <w:sz w:val="26"/>
              </w:rPr>
              <w:t>Thông tư 01/2008/TT-BKHCN-Hướng dẫn việc cấp, thu hồi Thẻ giám định viên sở hữu công nghiệp và Giấy chứng nhận tổ chức đủ điều kiện hoạt động giám định sở hữu công nghiệp</w:t>
            </w:r>
          </w:p>
        </w:tc>
        <w:tc>
          <w:p/>
          <w:p>
            <w:pPr>
              <w:spacing w:after="0" w:before="0" w:lineRule="auto" w:line="276"/>
              <w:jc w:val="left"/>
            </w:pPr>
            <w:r>
              <w:rPr>
                <w:rFonts w:ascii="Times New Roman" w:hAnsi="Times New Roman" w:cs="Times New Roman" w:eastAsia="Times New Roman"/>
                <w:b w:val="false"/>
                <w:sz w:val="26"/>
              </w:rPr>
              <w:t>25-02-2008</w:t>
            </w:r>
          </w:p>
        </w:tc>
        <w:tc>
          <w:p/>
          <w:p>
            <w:pPr>
              <w:spacing w:after="0" w:before="0" w:lineRule="auto" w:line="276"/>
              <w:jc w:val="left"/>
            </w:pPr>
            <w:r>
              <w:rPr>
                <w:rFonts w:ascii="Times New Roman" w:hAnsi="Times New Roman" w:cs="Times New Roman" w:eastAsia="Times New Roman"/>
                <w:b w:val="false"/>
                <w:sz w:val="26"/>
              </w:rPr>
              <w:t>Bộ Khoa học và Công nghệ</w:t>
            </w:r>
          </w:p>
        </w:tc>
      </w:tr>
      <w:tr>
        <w:tc>
          <w:p/>
          <w:p>
            <w:pPr>
              <w:spacing w:after="0" w:before="0" w:lineRule="auto" w:line="276"/>
              <w:jc w:val="left"/>
            </w:pPr>
            <w:r>
              <w:rPr>
                <w:rFonts w:ascii="Times New Roman" w:hAnsi="Times New Roman" w:cs="Times New Roman" w:eastAsia="Times New Roman"/>
                <w:b w:val="false"/>
                <w:sz w:val="26"/>
              </w:rPr>
              <w:t>04/2009/TT-BKHCN</w:t>
            </w:r>
          </w:p>
        </w:tc>
        <w:tc>
          <w:p/>
          <w:p>
            <w:pPr>
              <w:spacing w:after="0" w:before="0" w:lineRule="auto" w:line="276"/>
              <w:jc w:val="left"/>
            </w:pPr>
            <w:r>
              <w:rPr>
                <w:rFonts w:ascii="Times New Roman" w:hAnsi="Times New Roman" w:cs="Times New Roman" w:eastAsia="Times New Roman"/>
                <w:b w:val="false"/>
                <w:sz w:val="26"/>
              </w:rPr>
              <w:t>Thông tư 04/2009/TT-BKHCN-Sửa đổi, bổ sung Thông tư số 01/2008/TT-BKHCN ngày 25/02/2008 hướng dẫn việc cấp, thu hồi Thẻ giám định viên sở hữu công nghiệp và Giấy chứng nhận tổ chức đủ điều kiện hoạt động giám định sở hữu công nghiệp</w:t>
            </w:r>
          </w:p>
        </w:tc>
        <w:tc>
          <w:p/>
          <w:p>
            <w:pPr>
              <w:spacing w:after="0" w:before="0" w:lineRule="auto" w:line="276"/>
              <w:jc w:val="left"/>
            </w:pPr>
            <w:r>
              <w:rPr>
                <w:rFonts w:ascii="Times New Roman" w:hAnsi="Times New Roman" w:cs="Times New Roman" w:eastAsia="Times New Roman"/>
                <w:b w:val="false"/>
                <w:sz w:val="26"/>
              </w:rPr>
              <w:t>27-03-2009</w:t>
            </w:r>
          </w:p>
        </w:tc>
        <w:tc>
          <w:p/>
          <w:p>
            <w:pPr>
              <w:spacing w:after="0" w:before="0" w:lineRule="auto" w:line="276"/>
              <w:jc w:val="left"/>
            </w:pPr>
            <w:r>
              <w:rPr>
                <w:rFonts w:ascii="Times New Roman" w:hAnsi="Times New Roman" w:cs="Times New Roman" w:eastAsia="Times New Roman"/>
                <w:b w:val="false"/>
                <w:sz w:val="26"/>
              </w:rPr>
              <w:t>Bộ Khoa học và Công nghệ</w:t>
            </w:r>
          </w:p>
        </w:tc>
      </w:tr>
      <w:tr>
        <w:tc>
          <w:p/>
          <w:p>
            <w:pPr>
              <w:spacing w:after="0" w:before="0" w:lineRule="auto" w:line="276"/>
              <w:jc w:val="left"/>
            </w:pPr>
            <w:r>
              <w:rPr>
                <w:rFonts w:ascii="Times New Roman" w:hAnsi="Times New Roman" w:cs="Times New Roman" w:eastAsia="Times New Roman"/>
                <w:b w:val="false"/>
                <w:sz w:val="26"/>
              </w:rPr>
              <w:t>18/2011/TT-BKHCN</w:t>
            </w:r>
          </w:p>
        </w:tc>
        <w:tc>
          <w:p/>
          <w:p>
            <w:pPr>
              <w:spacing w:after="0" w:before="0" w:lineRule="auto" w:line="276"/>
              <w:jc w:val="left"/>
            </w:pPr>
            <w:r>
              <w:rPr>
                <w:rFonts w:ascii="Times New Roman" w:hAnsi="Times New Roman" w:cs="Times New Roman" w:eastAsia="Times New Roman"/>
                <w:b w:val="false"/>
                <w:sz w:val="26"/>
              </w:rPr>
              <w:t>Thông tư 18/2011/TT-BKHCN-Sửa đổi, bổ sung một số quy định của Thông tư số 01/2007/TT-BKHCN ngày 14/02/2007, được sửa đổi, bổ sung theo Thông tư số 13/2010/TT-BKHCN ngày 31/7/2010 và Thông tư số 01/2008/TT-BKHCN ngày 25/02/2008, được sửa đổi, bổ sung theo Thông tư số 04/2009/TT-BKHCN ngày 27/3/2009</w:t>
            </w:r>
          </w:p>
        </w:tc>
        <w:tc>
          <w:p/>
          <w:p>
            <w:pPr>
              <w:spacing w:after="0" w:before="0" w:lineRule="auto" w:line="276"/>
              <w:jc w:val="left"/>
            </w:pPr>
            <w:r>
              <w:rPr>
                <w:rFonts w:ascii="Times New Roman" w:hAnsi="Times New Roman" w:cs="Times New Roman" w:eastAsia="Times New Roman"/>
                <w:b w:val="false"/>
                <w:sz w:val="26"/>
              </w:rPr>
              <w:t>22-07-2011</w:t>
            </w:r>
          </w:p>
        </w:tc>
        <w:tc>
          <w:p/>
          <w:p>
            <w:pPr>
              <w:spacing w:after="0" w:before="0" w:lineRule="auto" w:line="276"/>
              <w:jc w:val="left"/>
            </w:pPr>
            <w:r>
              <w:rPr>
                <w:rFonts w:ascii="Times New Roman" w:hAnsi="Times New Roman" w:cs="Times New Roman" w:eastAsia="Times New Roman"/>
                <w:b w:val="false"/>
                <w:sz w:val="26"/>
              </w:rPr>
              <w:t>Bộ Khoa học và Công nghệ</w:t>
            </w:r>
          </w:p>
        </w:tc>
      </w:tr>
      <w:tr>
        <w:tc>
          <w:p/>
          <w:p>
            <w:pPr>
              <w:spacing w:after="0" w:before="0" w:lineRule="auto" w:line="276"/>
              <w:jc w:val="left"/>
            </w:pPr>
            <w:r>
              <w:rPr>
                <w:rFonts w:ascii="Times New Roman" w:hAnsi="Times New Roman" w:cs="Times New Roman" w:eastAsia="Times New Roman"/>
                <w:b w:val="false"/>
                <w:sz w:val="26"/>
              </w:rPr>
              <w:t>04/2012/TT-BKHCN	</w:t>
            </w:r>
          </w:p>
        </w:tc>
        <w:tc>
          <w:p/>
          <w:p>
            <w:pPr>
              <w:spacing w:after="0" w:before="0" w:lineRule="auto" w:line="276"/>
              <w:jc w:val="left"/>
            </w:pPr>
            <w:r>
              <w:rPr>
                <w:rFonts w:ascii="Times New Roman" w:hAnsi="Times New Roman" w:cs="Times New Roman" w:eastAsia="Times New Roman"/>
                <w:b w:val="false"/>
                <w:sz w:val="26"/>
              </w:rPr>
              <w:t>Thông tư 04/2012/TT-BKHCN-Sửa đổi, bổ sung một số quy định của Thông tư số 01/2008/TT-BKHCN ngày 25/02/2008 hướng dẫn việc cấp, thu hồi Thẻ giám định viên sở hữu công nghiệp và Giấy chứng nhận tổ chức đủ điều kiện hoạt động giám định sở hữu công nghiệp, được sửa đổi, bổ sung theo Thông tư số 04/2009/TT-BKHCN ngày 27/3/2009 và Thông tư số 18/2011/TT-BKHCN ngày 22/7/2011</w:t>
            </w:r>
          </w:p>
        </w:tc>
        <w:tc>
          <w:p/>
          <w:p>
            <w:pPr>
              <w:spacing w:after="0" w:before="0" w:lineRule="auto" w:line="276"/>
              <w:jc w:val="left"/>
            </w:pPr>
            <w:r>
              <w:rPr>
                <w:rFonts w:ascii="Times New Roman" w:hAnsi="Times New Roman" w:cs="Times New Roman" w:eastAsia="Times New Roman"/>
                <w:b w:val="false"/>
                <w:sz w:val="26"/>
              </w:rPr>
              <w:t>13-02-2012</w:t>
            </w:r>
          </w:p>
        </w:tc>
        <w:tc>
          <w:p/>
          <w:p>
            <w:pPr>
              <w:spacing w:after="0" w:before="0" w:lineRule="auto" w:line="276"/>
              <w:jc w:val="left"/>
            </w:pPr>
            <w:r>
              <w:rPr>
                <w:rFonts w:ascii="Times New Roman" w:hAnsi="Times New Roman" w:cs="Times New Roman" w:eastAsia="Times New Roman"/>
                <w:b w:val="false"/>
                <w:sz w:val="26"/>
              </w:rPr>
              <w:t>Bộ Khoa học và Công nghệ</w:t>
            </w:r>
          </w:p>
        </w:tc>
      </w:tr>
      <w:tr>
        <w:tc>
          <w:p/>
          <w:p>
            <w:pPr>
              <w:spacing w:after="0" w:before="0" w:lineRule="auto" w:line="276"/>
              <w:jc w:val="left"/>
            </w:pPr>
            <w:r>
              <w:rPr>
                <w:rFonts w:ascii="Times New Roman" w:hAnsi="Times New Roman" w:cs="Times New Roman" w:eastAsia="Times New Roman"/>
                <w:b w:val="false"/>
                <w:sz w:val="26"/>
              </w:rPr>
              <w:t>50/2005/QH11</w:t>
            </w:r>
          </w:p>
        </w:tc>
        <w:tc>
          <w:p/>
          <w:p>
            <w:pPr>
              <w:spacing w:after="0" w:before="0" w:lineRule="auto" w:line="276"/>
              <w:jc w:val="left"/>
            </w:pPr>
            <w:r>
              <w:rPr>
                <w:rFonts w:ascii="Times New Roman" w:hAnsi="Times New Roman" w:cs="Times New Roman" w:eastAsia="Times New Roman"/>
                <w:b w:val="false"/>
                <w:sz w:val="26"/>
              </w:rPr>
              <w:t>Luật Sở hữu trí tuệ</w:t>
            </w:r>
          </w:p>
        </w:tc>
        <w:tc>
          <w:p/>
          <w:p>
            <w:pPr>
              <w:spacing w:after="0" w:before="0" w:lineRule="auto" w:line="276"/>
              <w:jc w:val="left"/>
            </w:pPr>
            <w:r>
              <w:rPr>
                <w:rFonts w:ascii="Times New Roman" w:hAnsi="Times New Roman" w:cs="Times New Roman" w:eastAsia="Times New Roman"/>
                <w:b w:val="false"/>
                <w:sz w:val="26"/>
              </w:rPr>
              <w:t>29-11-2005</w:t>
            </w:r>
          </w:p>
        </w:tc>
        <w:tc>
          <w:p/>
          <w:p>
            <w:pPr>
              <w:spacing w:after="0" w:before="0" w:lineRule="auto" w:line="276"/>
              <w:jc w:val="left"/>
            </w:pPr>
            <w:r>
              <w:rPr>
                <w:rFonts w:ascii="Times New Roman" w:hAnsi="Times New Roman" w:cs="Times New Roman" w:eastAsia="Times New Roman"/>
                <w:b w:val="false"/>
                <w:sz w:val="26"/>
              </w:rPr>
              <w:t>Quốc Hội</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 Có nhân lực, cơ sở vật chất - kỹ thuật đáp ứng yêu cầu đối với tổ chức hoạt động giám định theo quy định của pháp luật;
- Có chức năng thực hiện hoạt động giám định về sở hữu công nghiệp được ghi nhận trong Giấy chứng nhận đăng ký kinh doanh, Giấy chứng nhận đăng ký hoạt động;
- Người đứng đầu tổ chức hoặc người được người đứng đầu tổ chức ủy quyền có Thẻ giám định viên sở hữu công nghiệp.
Tổ chức giám định sở hữu công nghiệp chỉ được thực hiện hoạt động giám định trong lĩnh vực đã đăng ký hoạt động.</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cấp Giấy chứng nhận tổ chức đủ điều kiện hoạt động giám định sở hữu công nghiệp</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2024-03-28T20:36:12Z</dcterms:created>
  <dc:creator>Apache POI</dc:creator>
</cp:coreProperties>
</file>