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1.003589.000.00.00.H56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3183/QĐ-UBND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cơ sở an toàn dịch bệnh động vật trên cạn đối với cơ sở có nhu cầu bổ sung nội dung chứng nhận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Thú y</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Trong thời hạn 05 (năm) ngày làm việc kể từ khi nhận được hồ sơ, Cơ quan thú y kiểm tra tính hợp lệ và thẩm định nội dung của hồ sơ.
- Trường hợp hồ sơ hợp lệ, Cơ quan thú y thành lập Đoàn kiểm tra, đánh giá (sau đây gọi chung là Đoàn đánh giá) và thông báo kế hoạch kiểm tra, đánh giá cho cơ sở.
- Trường hợp hồ sơ không hợp lệ, Cơ quan thú y thông báo bằng văn bản cho cơ sở để sửa đổi, bổ sung, hoàn thiện.</w:t>
      </w:r>
    </w:p>
    <w:p>
      <w:pPr>
        <w:spacing w:after="0" w:before="0" w:lineRule="auto" w:line="276"/>
        <w:jc w:val="both"/>
      </w:pPr>
      <w:r>
        <w:rPr>
          <w:rFonts w:ascii="Times New Roman" w:hAnsi="Times New Roman" w:cs="Times New Roman" w:eastAsia="Times New Roman"/>
          <w:b w:val="false"/>
          <w:sz w:val="26"/>
        </w:rPr>
        <w:t>Bước 2: Trong thời hạn 10 (mười) ngày làm việc kể từ ngày thành lập, Đoàn đánh giá phải thực hiện kiểm tra, đánh giá tại cơ sở.</w:t>
      </w:r>
    </w:p>
    <w:p>
      <w:pPr>
        <w:spacing w:after="0" w:before="0" w:lineRule="auto" w:line="276"/>
        <w:jc w:val="both"/>
      </w:pPr>
      <w:r>
        <w:rPr>
          <w:rFonts w:ascii="Times New Roman" w:hAnsi="Times New Roman" w:cs="Times New Roman" w:eastAsia="Times New Roman"/>
          <w:b w:val="false"/>
          <w:sz w:val="26"/>
        </w:rPr>
        <w:t>Bước 3: Trong thời hạn 05 (năm) ngày làm việc kể từ ngày kết thúc việc kiểm tra tại cơ sở hoặc kể từ ngày nhận kết quả xét nghiệm bệnh, Cơ quan thú y cấp Giấy chứng nhận cho cơ sở đạt yêu cầu; trường hợp không cấp Giấy chứng nhận, Cơ quan thú y phải trả lời bằng văn bản nêu rõ lý do và hướng dẫn cơ sở khắc phục các nội dung chưa đạt yêu cầu.</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thời hạn 05 ngày làm việc kể từ ngày nhận được hồ sơ đầy đủ và hợp lệ, thành lập Đoàn đánh giá để thực hiện đánh giá cơ sở.  - Trong thời hạn 10 ngày làm việc kể từ ngày thành lập, Đoàn đánh giá phải thực hiện kiểm tra, đánh giá tại cơ sở.  - Trong thời hạn 05 ngày làm việc kể từ ngày kết thúc việc kiểm tra tại cơ sở hoặc kể từ ngày nhận kết quả xét nghiệm bệnh theo quy định, Chi cục Chăn nuôi và Thú y cấp Giấy chứng nhận cho cơ sở đạt yêu cầu. </w:t>
            </w:r>
          </w:p>
        </w:tc>
        <w:tc>
          <w:p/>
          <w:p>
            <w:pPr>
              <w:spacing w:after="0" w:before="0" w:lineRule="auto" w:line="276"/>
              <w:jc w:val="left"/>
            </w:pPr>
            <w:r>
              <w:rPr>
                <w:rFonts w:ascii="Times New Roman" w:hAnsi="Times New Roman" w:cs="Times New Roman" w:eastAsia="Times New Roman"/>
                <w:b w:val="false"/>
                <w:sz w:val="26"/>
              </w:rPr>
              <w:t xml:space="preserve">Phí :  </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pPr>
              <w:spacing w:after="0" w:before="0" w:lineRule="auto" w:line="276"/>
              <w:jc w:val="left"/>
            </w:pPr>
            <w:r>
              <w:rPr>
                <w:rFonts w:ascii="Times New Roman" w:hAnsi="Times New Roman" w:cs="Times New Roman" w:eastAsia="Times New Roman"/>
                <w:b w:val="false"/>
                <w:sz w:val="26"/>
              </w:rPr>
              <w:t>Phí :  Đồng</w:t>
              <w:t xml:space="preserve"> (- Chi phí khác: Biểu khung giá dịch vụ ban hành kèm theo Thông tư số 283/2016/TT-BTC ngày 14/11/2016.)</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Trong thời hạn 05 ngày làm việc kể từ ngày nhận được hồ sơ đầy đủ và hợp lệ, thành lập Đoàn đánh giá để thực hiện đánh giá cơ sở.  - Trong thời hạn 10 ngày làm việc kể từ ngày thành lập, Đoàn đánh giá phải thực hiện kiểm tra, đánh giá tại cơ sở.  - Trong thời hạn 05 ngày làm việc kể từ ngày kết thúc việc kiểm tra tại cơ sở hoặc kể từ ngày nhận kết quả xét nghiệm bệnh theo quy định, Chi cục Chăn nuôi và Thú y cấp Giấy chứng nhận cho cơ sở đạt yêu cầu. </w:t>
            </w:r>
          </w:p>
        </w:tc>
        <w:tc>
          <w:p/>
          <w:p>
            <w:pPr>
              <w:spacing w:after="0" w:before="0" w:lineRule="auto" w:line="276"/>
              <w:jc w:val="left"/>
            </w:pPr>
            <w:r>
              <w:rPr>
                <w:rFonts w:ascii="Times New Roman" w:hAnsi="Times New Roman" w:cs="Times New Roman" w:eastAsia="Times New Roman"/>
                <w:b w:val="false"/>
                <w:sz w:val="26"/>
              </w:rPr>
              <w:t xml:space="preserve">Phí :  </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pPr>
              <w:spacing w:after="0" w:before="0" w:lineRule="auto" w:line="276"/>
              <w:jc w:val="left"/>
            </w:pPr>
            <w:r>
              <w:rPr>
                <w:rFonts w:ascii="Times New Roman" w:hAnsi="Times New Roman" w:cs="Times New Roman" w:eastAsia="Times New Roman"/>
                <w:b w:val="false"/>
                <w:sz w:val="26"/>
              </w:rPr>
              <w:t>Phí :  Đồng</w:t>
              <w:t xml:space="preserve"> (- Chi phí khác: Biểu khung giá dịch vụ ban hành kèm theo Thông tư số 283/2016/TT-BTC ngày 14/11/2016.)</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Trong thời hạn 05 ngày làm việc kể từ ngày nhận được hồ sơ đầy đủ và hợp lệ, thành lập Đoàn đánh giá để thực hiện đánh giá cơ sở.  - Trong thời hạn 10 ngày làm việc kể từ ngày thành lập, Đoàn đánh giá phải thực hiện kiểm tra, đánh giá tại cơ sở.  - Trong thời hạn 05 ngày làm việc kể từ ngày kết thúc việc kiểm tra tại cơ sở hoặc kể từ ngày nhận kết quả xét nghiệm bệnh theo quy định, Chi cục Chăn nuôi và Thú y cấp Giấy chứng nhận cho cơ sở đạt yêu cầu. </w:t>
            </w:r>
          </w:p>
        </w:tc>
        <w:tc>
          <w:p/>
          <w:p>
            <w:pPr>
              <w:spacing w:after="0" w:before="0" w:lineRule="auto" w:line="276"/>
              <w:jc w:val="left"/>
            </w:pPr>
            <w:r>
              <w:rPr>
                <w:rFonts w:ascii="Times New Roman" w:hAnsi="Times New Roman" w:cs="Times New Roman" w:eastAsia="Times New Roman"/>
                <w:b w:val="false"/>
                <w:sz w:val="26"/>
              </w:rPr>
              <w:t xml:space="preserve">Phí :  </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pPr>
              <w:spacing w:after="0" w:before="0" w:lineRule="auto" w:line="276"/>
              <w:jc w:val="left"/>
            </w:pPr>
            <w:r>
              <w:rPr>
                <w:rFonts w:ascii="Times New Roman" w:hAnsi="Times New Roman" w:cs="Times New Roman" w:eastAsia="Times New Roman"/>
                <w:b w:val="false"/>
                <w:sz w:val="26"/>
              </w:rPr>
              <w:t>Phí :  Đồng</w:t>
              <w:t xml:space="preserve"> (- Chi phí khác: Biểu khung giá dịch vụ ban hành kèm theo Thông tư số 283/2016/TT-BTC ngày 14/11/2016.)</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Báo cáo kết quả giám sát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Phiếu trả lời kết quả xét nghiệm (là kết quả thu mẫu gửi xét nghiệm khi kiểm tra tại vùng)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hoặc Văn bản đề nghị của Chủ tịch UBND xã đăng ký cấp giấy chứng nhận cơ sở an toàn dịch bệnh bệnh (Phụ lục VIa, VIb, ban hành kèm theo Thông tư số 14/2016/TT-BNNPTNT)</w:t>
            </w:r>
          </w:p>
        </w:tc>
        <w:tc>
          <w:p/>
          <w:p>
            <w:pPr>
              <w:spacing w:after="0" w:before="0" w:lineRule="auto" w:line="276"/>
              <w:jc w:val="left"/>
            </w:pPr>
            <w:r>
              <w:rPr>
                <w:rFonts w:ascii="Times New Roman" w:hAnsi="Times New Roman" w:cs="Times New Roman" w:eastAsia="Times New Roman"/>
                <w:b w:val="false"/>
                <w:sz w:val="26"/>
              </w:rPr>
              <w:t>VIa VIb.docx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Chăn nuôi và Thú y</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Chi cục Chăn nuôi và Thú y</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Phát triển nông thôn tại Trung tâm Phục vụ hành chính công tỉnh Thanh Hóa (Số 28 Đại lộ Lê Lợi, phường Điện Biên, thành phố Thanh Hóa,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vùng, cơ sở an toàn dịch bệnh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Luật 79/2015/QH13</w:t>
            </w:r>
          </w:p>
        </w:tc>
        <w:tc>
          <w:p/>
          <w:p>
            <w:pPr>
              <w:spacing w:after="0" w:before="0" w:lineRule="auto" w:line="276"/>
              <w:jc w:val="left"/>
            </w:pPr>
            <w:r>
              <w:rPr>
                <w:rFonts w:ascii="Times New Roman" w:hAnsi="Times New Roman" w:cs="Times New Roman" w:eastAsia="Times New Roman"/>
                <w:b w:val="false"/>
                <w:sz w:val="26"/>
              </w:rPr>
              <w:t>Luật Thú y</w:t>
            </w:r>
          </w:p>
        </w:tc>
        <w:tc>
          <w:p/>
          <w:p>
            <w:pPr>
              <w:spacing w:after="0" w:before="0" w:lineRule="auto" w:line="276"/>
              <w:jc w:val="left"/>
            </w:pPr>
            <w:r>
              <w:rPr>
                <w:rFonts w:ascii="Times New Roman" w:hAnsi="Times New Roman" w:cs="Times New Roman" w:eastAsia="Times New Roman"/>
                <w:b w:val="false"/>
                <w:sz w:val="26"/>
              </w:rPr>
              <w:t>19-06-2015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35/2016/NĐ-CP</w:t>
            </w:r>
          </w:p>
        </w:tc>
        <w:tc>
          <w:p/>
          <w:p>
            <w:pPr>
              <w:spacing w:after="0" w:before="0" w:lineRule="auto" w:line="276"/>
              <w:jc w:val="left"/>
            </w:pPr>
            <w:r>
              <w:rPr>
                <w:rFonts w:ascii="Times New Roman" w:hAnsi="Times New Roman" w:cs="Times New Roman" w:eastAsia="Times New Roman"/>
                <w:b w:val="false"/>
                <w:sz w:val="26"/>
              </w:rPr>
              <w:t>Quy định chi tiết một số điều của Luật thú y</w:t>
            </w:r>
          </w:p>
        </w:tc>
        <w:tc>
          <w:p/>
          <w:p>
            <w:pPr>
              <w:spacing w:after="0" w:before="0" w:lineRule="auto" w:line="276"/>
              <w:jc w:val="left"/>
            </w:pPr>
            <w:r>
              <w:rPr>
                <w:rFonts w:ascii="Times New Roman" w:hAnsi="Times New Roman" w:cs="Times New Roman" w:eastAsia="Times New Roman"/>
                <w:b w:val="false"/>
                <w:sz w:val="26"/>
              </w:rPr>
              <w:t>15-05-2016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283/2016/TT-BTC	</w:t>
            </w:r>
          </w:p>
        </w:tc>
        <w:tc>
          <w:p/>
          <w:p>
            <w:pPr>
              <w:spacing w:after="0" w:before="0" w:lineRule="auto" w:line="276"/>
              <w:jc w:val="left"/>
            </w:pPr>
            <w:r>
              <w:rPr>
                <w:rFonts w:ascii="Times New Roman" w:hAnsi="Times New Roman" w:cs="Times New Roman" w:eastAsia="Times New Roman"/>
                <w:b w:val="false"/>
                <w:sz w:val="26"/>
              </w:rPr>
              <w:t>Quy định khung giá dịch vụ tiêm phòng, tiêu độc, khử trùng cho động vật, chẩn đoán thú y và dịch vụ kiểm nghiệm thuốc dùng cho động vật	</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14/2016/TT-BNNPTNT	</w:t>
            </w:r>
          </w:p>
        </w:tc>
        <w:tc>
          <w:p/>
          <w:p>
            <w:pPr>
              <w:spacing w:after="0" w:before="0" w:lineRule="auto" w:line="276"/>
              <w:jc w:val="left"/>
            </w:pPr>
            <w:r>
              <w:rPr>
                <w:rFonts w:ascii="Times New Roman" w:hAnsi="Times New Roman" w:cs="Times New Roman" w:eastAsia="Times New Roman"/>
                <w:b w:val="false"/>
                <w:sz w:val="26"/>
              </w:rPr>
              <w:t>Quy định về vùng, cơ sở an toàn dịch bệnh động vật	</w:t>
            </w:r>
          </w:p>
        </w:tc>
        <w:tc>
          <w:p/>
          <w:p>
            <w:pPr>
              <w:spacing w:after="0" w:before="0" w:lineRule="auto" w:line="276"/>
              <w:jc w:val="left"/>
            </w:pPr>
            <w:r>
              <w:rPr>
                <w:rFonts w:ascii="Times New Roman" w:hAnsi="Times New Roman" w:cs="Times New Roman" w:eastAsia="Times New Roman"/>
                <w:b w:val="false"/>
                <w:sz w:val="26"/>
              </w:rPr>
              <w:t>02-06-2016</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101/2020/TT-BTC</w:t>
            </w:r>
          </w:p>
        </w:tc>
        <w:tc>
          <w:p/>
          <w:p>
            <w:pPr>
              <w:spacing w:after="0" w:before="0" w:lineRule="auto" w:line="276"/>
              <w:jc w:val="left"/>
            </w:pPr>
            <w:r>
              <w:rPr>
                <w:rFonts w:ascii="Times New Roman" w:hAnsi="Times New Roman" w:cs="Times New Roman" w:eastAsia="Times New Roman"/>
                <w:b w:val="false"/>
                <w:sz w:val="26"/>
              </w:rPr>
              <w:t>Thông tư 101/2020/TT-BTC</w:t>
            </w:r>
          </w:p>
        </w:tc>
        <w:tc>
          <w:p/>
          <w:p>
            <w:pPr>
              <w:spacing w:after="0" w:before="0" w:lineRule="auto" w:line="276"/>
              <w:jc w:val="left"/>
            </w:pPr>
            <w:r>
              <w:rPr>
                <w:rFonts w:ascii="Times New Roman" w:hAnsi="Times New Roman" w:cs="Times New Roman" w:eastAsia="Times New Roman"/>
                <w:b w:val="false"/>
                <w:sz w:val="26"/>
              </w:rPr>
              <w:t>23-11-2020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Cơ sở đã thực hiện giám sát theo quy định, không có ca bệnh của bệnh đăng ký bổ sung công nhận an toàn trong ít nhất 12 tháng trước thời điểm nộp hồ sơ đăng ký;</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2024-03-29T01:18:46Z</dcterms:created>
  <dc:creator>Apache POI</dc:creator>
</cp:coreProperties>
</file>