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1.003621.000.00.00.H18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429/QĐ-UBND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thay đổi giấy phép thành lập và công nhận điều lệ (sửa đổi, bổ sung) quỹ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Tổ chức phi chính phủ</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Trong quá trình hoạt động nếu có sự sửa đổi, bổ sung điều lệ quỹ, Hội đồng quản lý quỹ gửi hồ sơ đến Bộ phận Tiếp nhận và Trả kết quả thuộc Văn phòng Sở Nội vụ tỉnh Điện Biên đề nghị thay đổi giấy phép thành lập và công nhận điều lệ (sửa đổi, bổ sung) quỹ.</w:t>
      </w:r>
    </w:p>
    <w:p>
      <w:pPr>
        <w:spacing w:after="0" w:before="0" w:lineRule="auto" w:line="276"/>
        <w:jc w:val="both"/>
      </w:pPr>
      <w:r>
        <w:rPr>
          <w:rFonts w:ascii="Times New Roman" w:hAnsi="Times New Roman" w:cs="Times New Roman" w:eastAsia="Times New Roman"/>
          <w:b w:val="false"/>
          <w:sz w:val="26"/>
        </w:rPr>
        <w:t>Bước 2: Trong thời hạn 05 ngày làm việc kể từ khi tiếp nhận hồ sơ, cán bộ tiếp nhận hồ sơ xem xét hồ sơ và đề nghị bổ sung trong trường hợp hồ sơ chưa đầy đủ và hợp pháp.</w:t>
      </w:r>
    </w:p>
    <w:p>
      <w:pPr>
        <w:spacing w:after="0" w:before="0" w:lineRule="auto" w:line="276"/>
        <w:jc w:val="both"/>
      </w:pPr>
      <w:r>
        <w:rPr>
          <w:rFonts w:ascii="Times New Roman" w:hAnsi="Times New Roman" w:cs="Times New Roman" w:eastAsia="Times New Roman"/>
          <w:b w:val="false"/>
          <w:sz w:val="26"/>
        </w:rPr>
        <w:t>Bước 3: Sở Nội vụ nghiên cứu, thẩm định hồ sơ, thực hiện quy trình lấy ý kiến các cơ quan có liên quan; tổng hợp các ý kiến góp ý đề nghị bổ sung thêm hồ sơ theo ý kiến góp ý (nếu có).</w:t>
      </w:r>
    </w:p>
    <w:p>
      <w:pPr>
        <w:spacing w:after="0" w:before="0" w:lineRule="auto" w:line="276"/>
        <w:jc w:val="both"/>
      </w:pPr>
      <w:r>
        <w:rPr>
          <w:rFonts w:ascii="Times New Roman" w:hAnsi="Times New Roman" w:cs="Times New Roman" w:eastAsia="Times New Roman"/>
          <w:b w:val="false"/>
          <w:sz w:val="26"/>
        </w:rPr>
        <w:t>Bước 4: Trong thời hạn 30 ngày làm việc kể từ ngày nhận hồ sơ đầy đủ và hợp pháp, Ủy ban nhân dân cấp tỉnh xem xét, quyết định cho phép thay đổi giấy phép thành lập và công nhận điều lệ quỹ. Trường hợp không đồng ý phải có văn bản trả lời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30 ngày làm việc kể từ ngày Ủy ban nhân dân cấp tỉnh (Sở Nội vụ) nhận hồ sơ đầy đủ và hợp pháp. Hồ sơ phải có xác nhận văn bản đến của cơ quan có thẩm quyền, nếu gửi qua đường bưu điện, thời gian được tính từ ngày đến trên phong bì.</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30 ngày làm việc kể từ ngày Ủy ban nhân dân cấp tỉnh (Sở Nội vụ) nhận hồ sơ đầy đủ và hợp pháp. Hồ sơ phải có xác nhận văn bản đến của cơ quan có thẩm quyền, nếu gửi qua đường bưu điện, thời gian được tính từ ngày đến trên phong bì.</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thay đổi giấy phép và công nhận điều lệ (sửa đổi, bổ sung) quỹ (theo mẫu);</w:t>
            </w:r>
          </w:p>
        </w:tc>
        <w:tc>
          <w:p/>
          <w:p>
            <w:pPr>
              <w:spacing w:after="0" w:before="0" w:lineRule="auto" w:line="276"/>
              <w:jc w:val="left"/>
            </w:pPr>
            <w:r>
              <w:rPr>
                <w:rFonts w:ascii="Times New Roman" w:hAnsi="Times New Roman" w:cs="Times New Roman" w:eastAsia="Times New Roman"/>
                <w:b w:val="false"/>
                <w:sz w:val="26"/>
              </w:rPr>
              <w:t>Mẫu  1. 7 - Đơn đề nghị thay đổi giấy phép thành lập và công nhận điều lệ (sửa đổi, bổ sung) quỹ_PL1.docx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Nghị quyết của Hội đồng quản lý quỹ nêu rõ lý do về việc xin thay đổi giấy phép thành lập và công nhận điều lệ quỹ;</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thảo điều lệ sửa đổi, bổ sung.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Nội vụ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Sở Nội vụ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điều lệ (sửa đổi, bổ sung) quỹ</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30/2012/NĐ-CP</w:t>
            </w:r>
          </w:p>
        </w:tc>
        <w:tc>
          <w:p/>
          <w:p>
            <w:pPr>
              <w:spacing w:after="0" w:before="0" w:lineRule="auto" w:line="276"/>
              <w:jc w:val="left"/>
            </w:pPr>
            <w:r>
              <w:rPr>
                <w:rFonts w:ascii="Times New Roman" w:hAnsi="Times New Roman" w:cs="Times New Roman" w:eastAsia="Times New Roman"/>
                <w:b w:val="false"/>
                <w:sz w:val="26"/>
              </w:rPr>
              <w:t>Nghị định số 30/2012/NĐ-CP ngày 12/4/2012 của Chính phủ Về tổ chức, hoạt động của quỹ xã hội, quỹ từ thiện</w:t>
            </w:r>
          </w:p>
        </w:tc>
        <w:tc>
          <w:p/>
          <w:p>
            <w:pPr>
              <w:spacing w:after="0" w:before="0" w:lineRule="auto" w:line="276"/>
              <w:jc w:val="left"/>
            </w:pPr>
            <w:r>
              <w:rPr>
                <w:rFonts w:ascii="Times New Roman" w:hAnsi="Times New Roman" w:cs="Times New Roman" w:eastAsia="Times New Roman"/>
                <w:b w:val="false"/>
                <w:sz w:val="26"/>
              </w:rPr>
              <w:t>12-04-2012</w:t>
            </w:r>
          </w:p>
        </w:tc>
        <w:tc>
          <w:p/>
        </w:tc>
      </w:tr>
      <w:tr>
        <w:tc>
          <w:p/>
          <w:p>
            <w:pPr>
              <w:spacing w:after="0" w:before="0" w:lineRule="auto" w:line="276"/>
              <w:jc w:val="left"/>
            </w:pPr>
            <w:r>
              <w:rPr>
                <w:rFonts w:ascii="Times New Roman" w:hAnsi="Times New Roman" w:cs="Times New Roman" w:eastAsia="Times New Roman"/>
                <w:b w:val="false"/>
                <w:sz w:val="26"/>
              </w:rPr>
              <w:t>02/2013/TT-BNV</w:t>
            </w:r>
          </w:p>
        </w:tc>
        <w:tc>
          <w:p/>
          <w:p>
            <w:pPr>
              <w:spacing w:after="0" w:before="0" w:lineRule="auto" w:line="276"/>
              <w:jc w:val="left"/>
            </w:pPr>
            <w:r>
              <w:rPr>
                <w:rFonts w:ascii="Times New Roman" w:hAnsi="Times New Roman" w:cs="Times New Roman" w:eastAsia="Times New Roman"/>
                <w:b w:val="false"/>
                <w:sz w:val="26"/>
              </w:rPr>
              <w:t>Thông tư số 02/2013/TT-BNV ngày 10/4/2013 của của Bộ trưởng Bộ Nội vụ Quy định chi tiết và hướng dẫn thi hành một số điều của Nghị định số 30/2012/NĐ-CP ngày 12 tháng 4 năm 2012 của Chính phủ về tổ chức, hoạt động của quỹ xã hội, từ thiện</w:t>
            </w:r>
          </w:p>
        </w:tc>
        <w:tc>
          <w:p/>
          <w:p>
            <w:pPr>
              <w:spacing w:after="0" w:before="0" w:lineRule="auto" w:line="276"/>
              <w:jc w:val="left"/>
            </w:pPr>
            <w:r>
              <w:rPr>
                <w:rFonts w:ascii="Times New Roman" w:hAnsi="Times New Roman" w:cs="Times New Roman" w:eastAsia="Times New Roman"/>
                <w:b w:val="false"/>
                <w:sz w:val="26"/>
              </w:rPr>
              <w:t>10-04-2013</w:t>
            </w:r>
          </w:p>
        </w:tc>
        <w:tc>
          <w:p/>
          <w:p>
            <w:pPr>
              <w:spacing w:after="0" w:before="0" w:lineRule="auto" w:line="276"/>
              <w:jc w:val="left"/>
            </w:pPr>
            <w:r>
              <w:rPr>
                <w:rFonts w:ascii="Times New Roman" w:hAnsi="Times New Roman" w:cs="Times New Roman" w:eastAsia="Times New Roman"/>
                <w:b w:val="false"/>
                <w:sz w:val="26"/>
              </w:rPr>
              <w:t>Bộ Nội vụ</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trên 03 số báo viết hoặc báo điện tử ở địa phương.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2024-03-28T22:23:41Z</dcterms:created>
  <dc:creator>Apache POI</dc:creator>
</cp:coreProperties>
</file>