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1.003633.000.00.00.H18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giấy phép bưu chính khi hết hạn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Bưu chính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Trước khi giấy phép bưu chính hết hạn tối thiểu 30 ngày, doanh nghiệp cung ứng dịch vụ bưu chính có nhu cầu tiếp tục kinh doanh thì phải lập 01 bộ hồ sơ là bản gốc đề nghị cấp lại giấy phép bưu chính và nộp trực tiếp hoặc gửi qua đường bưu chính đến Bộ phận tiếp nhận và trả kết quả thuộc Văn phòng Sở Thông tin và Truyền thông tỉnh Điện Biên</w:t>
      </w:r>
    </w:p>
    <w:p>
      <w:pPr>
        <w:spacing w:after="0" w:before="0" w:lineRule="auto" w:line="276"/>
        <w:jc w:val="both"/>
      </w:pPr>
      <w:r>
        <w:rPr>
          <w:rFonts w:ascii="Times New Roman" w:hAnsi="Times New Roman" w:cs="Times New Roman" w:eastAsia="Times New Roman"/>
          <w:b w:val="false"/>
          <w:sz w:val="26"/>
        </w:rPr>
        <w:t>- Việc cấp lại giấy phép bưu chính khi hết hạn được thực hiện trong thời hạn không quá 10 ngày làm việc kể từ ngày nhận được đầy đủ hồ sơ đáp ứng quy định.
</w:t>
      </w:r>
    </w:p>
    <w:p>
      <w:pPr>
        <w:spacing w:after="0" w:before="0" w:lineRule="auto" w:line="276"/>
        <w:jc w:val="both"/>
      </w:pPr>
      <w:r>
        <w:rPr>
          <w:rFonts w:ascii="Times New Roman" w:hAnsi="Times New Roman" w:cs="Times New Roman" w:eastAsia="Times New Roman"/>
          <w:b w:val="false"/>
          <w:sz w:val="26"/>
        </w:rPr>
        <w:t>- Trường hợp doanh nghiệp có giấy phép bưu chính hết hạn hoặc không làm thủ tục cấp lại giấy phép bưu chính theo đúng thời hạn (trước khi giấy phép bưu chính hết hạn tối thiểu 30 ngày) thì doanh nghiệp có nhu cầu được cấp lại giấy phép bưu chính phải nộp hồ sơ và thực hiện các thủ tục như cấp giấy phép mới.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t>Phí : 5.375.000 Đồng</w:t>
            </w:r>
          </w:p>
        </w:tc>
        <w:tc>
          <w:p/>
          <w:p>
            <w:pPr>
              <w:spacing w:after="0" w:before="0" w:lineRule="auto" w:line="276"/>
              <w:jc w:val="left"/>
            </w:pPr>
            <w:r>
              <w:rPr>
                <w:rFonts w:ascii="Times New Roman" w:hAnsi="Times New Roman" w:cs="Times New Roman" w:eastAsia="Times New Roman"/>
                <w:b w:val="false"/>
                <w:sz w:val="26"/>
              </w:rPr>
              <w:t>10 ngày làm việc kể từ ngày nhận được hồ sơ đáp ứng các quy định của pháp luật</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t>Phí : 5.375.000 Đồng Đồng</w:t>
            </w:r>
          </w:p>
        </w:tc>
        <w:tc>
          <w:p/>
          <w:p>
            <w:pPr>
              <w:spacing w:after="0" w:before="0" w:lineRule="auto" w:line="276"/>
              <w:jc w:val="left"/>
            </w:pPr>
            <w:r>
              <w:rPr>
                <w:rFonts w:ascii="Times New Roman" w:hAnsi="Times New Roman" w:cs="Times New Roman" w:eastAsia="Times New Roman"/>
                <w:b w:val="false"/>
                <w:sz w:val="26"/>
              </w:rPr>
              <w:t>10 ngày làm việc kể từ ngày nhận được hồ sơ đáp ứng các quy định của pháp luật</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t>Phí : 5.375.000 Đồng</w:t>
            </w:r>
          </w:p>
        </w:tc>
        <w:tc>
          <w:p/>
          <w:p>
            <w:pPr>
              <w:spacing w:after="0" w:before="0" w:lineRule="auto" w:line="276"/>
              <w:jc w:val="left"/>
            </w:pPr>
            <w:r>
              <w:rPr>
                <w:rFonts w:ascii="Times New Roman" w:hAnsi="Times New Roman" w:cs="Times New Roman" w:eastAsia="Times New Roman"/>
                <w:b w:val="false"/>
                <w:sz w:val="26"/>
              </w:rPr>
              <w:t>10 ngày làm việc kể từ ngày nhận được hồ sơ đáp ứng các quy định của pháp luật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Phương án kinh doanh trong giai đoạn tiếp theo, nếu doanh nghiệp bị lỗ 02 năm liên tiếp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tài liệu sau nếu có thay đổi so với hồ sơ đề nghị cấp giấy phép bưu chính lần gần nhất:  + Mẫu hợp đồng cung ứng và sử dụng dịch vụ bưu chính phù hợp với quy định của pháp luật về bưu chính; + Mẫu biểu trưng, nhãn hiệu, ký hiệu đặc thù hoặc các yếu tố thuộc hệ thống nhận diện của doanh nghiệp được thể hiện trên bưu gửi (nếu có); + Bảng giá cước dịch vụ bưu chính phù hợp với quy định của pháp luật về bưu chính; + Tiêu chuẩn chất lượng dịch vụ bưu chính công bố áp dụng phù hợp với quy định của pháp luật về bưu chính; + 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Hợp đồng nhượng quyền thương mại với doanh nghiệp đang cung ứng dịch vụ bưu chính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Số lượng hồ sơ: 01 bộ là bản gốc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đề nghị cấp lại giấy phép bưu chính</w:t>
            </w:r>
          </w:p>
        </w:tc>
        <w:tc>
          <w:p/>
          <w:p>
            <w:pPr>
              <w:spacing w:after="0" w:before="0" w:lineRule="auto" w:line="276"/>
              <w:jc w:val="left"/>
            </w:pPr>
            <w:r>
              <w:rPr>
                <w:rFonts w:ascii="Times New Roman" w:hAnsi="Times New Roman" w:cs="Times New Roman" w:eastAsia="Times New Roman"/>
                <w:b w:val="false"/>
                <w:sz w:val="26"/>
              </w:rPr>
              <w:t>Mau cấp lại giấy phép khi hết hạn.docx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Thông tin và Truyền thông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Thông tin và Truyền thông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Sở Thông tin và Truyền thông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bưu chính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49/2010/QH12</w:t>
            </w:r>
          </w:p>
        </w:tc>
        <w:tc>
          <w:p/>
          <w:p>
            <w:pPr>
              <w:spacing w:after="0" w:before="0" w:lineRule="auto" w:line="276"/>
              <w:jc w:val="left"/>
            </w:pPr>
            <w:r>
              <w:rPr>
                <w:rFonts w:ascii="Times New Roman" w:hAnsi="Times New Roman" w:cs="Times New Roman" w:eastAsia="Times New Roman"/>
                <w:b w:val="false"/>
                <w:sz w:val="26"/>
              </w:rPr>
              <w:t>Luật 49/2010/QH12</w:t>
            </w:r>
          </w:p>
        </w:tc>
        <w:tc>
          <w:p/>
          <w:p>
            <w:pPr>
              <w:spacing w:after="0" w:before="0" w:lineRule="auto" w:line="276"/>
              <w:jc w:val="left"/>
            </w:pPr>
            <w:r>
              <w:rPr>
                <w:rFonts w:ascii="Times New Roman" w:hAnsi="Times New Roman" w:cs="Times New Roman" w:eastAsia="Times New Roman"/>
                <w:b w:val="false"/>
                <w:sz w:val="26"/>
              </w:rPr>
              <w:t>17-06-2010</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47/2011/NĐ-CP</w:t>
            </w:r>
          </w:p>
        </w:tc>
        <w:tc>
          <w:p/>
          <w:p>
            <w:pPr>
              <w:spacing w:after="0" w:before="0" w:lineRule="auto" w:line="276"/>
              <w:jc w:val="left"/>
            </w:pPr>
            <w:r>
              <w:rPr>
                <w:rFonts w:ascii="Times New Roman" w:hAnsi="Times New Roman" w:cs="Times New Roman" w:eastAsia="Times New Roman"/>
                <w:b w:val="false"/>
                <w:sz w:val="26"/>
              </w:rPr>
              <w:t>Nghị định 47/2011/NĐ-CP</w:t>
            </w:r>
          </w:p>
        </w:tc>
        <w:tc>
          <w:p/>
          <w:p>
            <w:pPr>
              <w:spacing w:after="0" w:before="0" w:lineRule="auto" w:line="276"/>
              <w:jc w:val="left"/>
            </w:pPr>
            <w:r>
              <w:rPr>
                <w:rFonts w:ascii="Times New Roman" w:hAnsi="Times New Roman" w:cs="Times New Roman" w:eastAsia="Times New Roman"/>
                <w:b w:val="false"/>
                <w:sz w:val="26"/>
              </w:rPr>
              <w:t>17-06-2011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291/2016/TT-BTC</w:t>
            </w:r>
          </w:p>
        </w:tc>
        <w:tc>
          <w:p/>
          <w:p>
            <w:pPr>
              <w:spacing w:after="0" w:before="0" w:lineRule="auto" w:line="276"/>
              <w:jc w:val="left"/>
            </w:pPr>
            <w:r>
              <w:rPr>
                <w:rFonts w:ascii="Times New Roman" w:hAnsi="Times New Roman" w:cs="Times New Roman" w:eastAsia="Times New Roman"/>
                <w:b w:val="false"/>
                <w:sz w:val="26"/>
              </w:rPr>
              <w:t>Thông tư quy định mức thu, chế độ thu, nộp, quản lý và sử dụng phí thẩm định điều kiện hoạt động bưu chính</w:t>
            </w:r>
          </w:p>
        </w:tc>
        <w:tc>
          <w:p/>
          <w:p>
            <w:pPr>
              <w:spacing w:after="0" w:before="0" w:lineRule="auto" w:line="276"/>
              <w:jc w:val="left"/>
            </w:pPr>
            <w:r>
              <w:rPr>
                <w:rFonts w:ascii="Times New Roman" w:hAnsi="Times New Roman" w:cs="Times New Roman" w:eastAsia="Times New Roman"/>
                <w:b w:val="false"/>
                <w:sz w:val="26"/>
              </w:rPr>
              <w:t>15-11-2016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25/2020/TT-BTC</w:t>
            </w:r>
          </w:p>
        </w:tc>
        <w:tc>
          <w:p/>
          <w:p>
            <w:pPr>
              <w:spacing w:after="0" w:before="0" w:lineRule="auto" w:line="276"/>
              <w:jc w:val="left"/>
            </w:pPr>
            <w:r>
              <w:rPr>
                <w:rFonts w:ascii="Times New Roman" w:hAnsi="Times New Roman" w:cs="Times New Roman" w:eastAsia="Times New Roman"/>
                <w:b w:val="false"/>
                <w:sz w:val="26"/>
              </w:rPr>
              <w:t>Thông tư 25/2020/TT-BTC</w:t>
            </w:r>
          </w:p>
        </w:tc>
        <w:tc>
          <w:p/>
          <w:p>
            <w:pPr>
              <w:spacing w:after="0" w:before="0" w:lineRule="auto" w:line="276"/>
              <w:jc w:val="left"/>
            </w:pPr>
            <w:r>
              <w:rPr>
                <w:rFonts w:ascii="Times New Roman" w:hAnsi="Times New Roman" w:cs="Times New Roman" w:eastAsia="Times New Roman"/>
                <w:b w:val="false"/>
                <w:sz w:val="26"/>
              </w:rPr>
              <w:t>14-04-2020</w:t>
            </w:r>
          </w:p>
        </w:tc>
        <w:tc>
          <w:p/>
        </w:tc>
      </w:tr>
      <w:tr>
        <w:tc>
          <w:p/>
          <w:p>
            <w:pPr>
              <w:spacing w:after="0" w:before="0" w:lineRule="auto" w:line="276"/>
              <w:jc w:val="left"/>
            </w:pPr>
            <w:r>
              <w:rPr>
                <w:rFonts w:ascii="Times New Roman" w:hAnsi="Times New Roman" w:cs="Times New Roman" w:eastAsia="Times New Roman"/>
                <w:b w:val="false"/>
                <w:sz w:val="26"/>
              </w:rPr>
              <w:t>25/2022/NĐ-CP</w:t>
            </w:r>
          </w:p>
        </w:tc>
        <w:tc>
          <w:p/>
          <w:p>
            <w:pPr>
              <w:spacing w:after="0" w:before="0" w:lineRule="auto" w:line="276"/>
              <w:jc w:val="left"/>
            </w:pPr>
            <w:r>
              <w:rPr>
                <w:rFonts w:ascii="Times New Roman" w:hAnsi="Times New Roman" w:cs="Times New Roman" w:eastAsia="Times New Roman"/>
                <w:b w:val="false"/>
                <w:sz w:val="26"/>
              </w:rPr>
              <w:t>Nghị định 25/2022/NĐ-CP</w:t>
            </w:r>
          </w:p>
        </w:tc>
        <w:tc>
          <w:p/>
          <w:p>
            <w:pPr>
              <w:spacing w:after="0" w:before="0" w:lineRule="auto" w:line="276"/>
              <w:jc w:val="left"/>
            </w:pPr>
            <w:r>
              <w:rPr>
                <w:rFonts w:ascii="Times New Roman" w:hAnsi="Times New Roman" w:cs="Times New Roman" w:eastAsia="Times New Roman"/>
                <w:b w:val="false"/>
                <w:sz w:val="26"/>
              </w:rPr>
              <w:t>12-04-2022</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Trước khi giấy phép bưu chính hết hạn tối thiểu 30 ngày</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2024-03-28T14:22:41Z</dcterms:created>
  <dc:creator>Apache POI</dc:creator>
</cp:coreProperties>
</file>