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1.003634.000.00.00.H56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1068/QĐ-UBND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đăng ký tàu cá</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Tổ chức, cá nhân nộp 01 bộ hồ sơ trực tiếp tại Cơ quan quản lý nhà nước về thủy sản cấp tỉnh hoặc gửi qua dịch vụ bưu chính hoặc qua môi trường mạng (cổng thông tin một cửa quốc gia, dịch vụ công trực tuyến, phần mềm điện tử, email, fax) nếu có;</w:t>
      </w:r>
    </w:p>
    <w:p>
      <w:pPr>
        <w:spacing w:after="0" w:before="0" w:lineRule="auto" w:line="276"/>
        <w:jc w:val="both"/>
      </w:pPr>
      <w:r>
        <w:rPr>
          <w:rFonts w:ascii="Times New Roman" w:hAnsi="Times New Roman" w:cs="Times New Roman" w:eastAsia="Times New Roman"/>
          <w:b w:val="false"/>
          <w:sz w:val="26"/>
        </w:rPr>
        <w:t xml:space="preserve">b) Trường hợp nộp hồ sơ trực tiếp: Cơ quan quản lý nhà nước về thủy sản cấp tỉnh kiểm tra thành phần hồ sơ và trả lời ngay khi tổ chức, cá nhân đến nộp hồ sơ; </w:t>
      </w:r>
    </w:p>
    <w:p>
      <w:pPr>
        <w:spacing w:after="0" w:before="0" w:lineRule="auto" w:line="276"/>
        <w:jc w:val="both"/>
      </w:pPr>
      <w:r>
        <w:rPr>
          <w:rFonts w:ascii="Times New Roman" w:hAnsi="Times New Roman" w:cs="Times New Roman" w:eastAsia="Times New Roman"/>
          <w:b w:val="false"/>
          <w:sz w:val="26"/>
        </w:rPr>
        <w:t>c) Trường hợp nộp hồ sơ qua dịch vụ bưu chính hoặc qua môi trường mạng: Trong thời hạn không quá 02 ngày làm việc, Cơ quan quản lý nhà nước về thủy sản cấp tỉnh xem xét tính đầy đủ, nếu hồ sơ chưa đầy đủ theo quy định, Cơ quan quản lý nhà nước về thủy sản cấp tỉnh có văn bản thông báo rõ cho tổ chức, cá nhân bổ sung;</w:t>
      </w:r>
    </w:p>
    <w:p>
      <w:pPr>
        <w:spacing w:after="0" w:before="0" w:lineRule="auto" w:line="276"/>
        <w:jc w:val="both"/>
      </w:pPr>
      <w:r>
        <w:rPr>
          <w:rFonts w:ascii="Times New Roman" w:hAnsi="Times New Roman" w:cs="Times New Roman" w:eastAsia="Times New Roman"/>
          <w:b w:val="false"/>
          <w:sz w:val="26"/>
        </w:rPr>
        <w:t xml:space="preserve">d) Trong thời hạn 03 ngày làm việc, kể từ ngày nhận được hồ sơ đầy đủ theo quy định, Cơ quan quản lý nhà nước về thủy sản cấp tỉnh cấp lại Giấy chứng nhận đăng ký tàu cá. Trường hợp không cấp lại Giấy chứng nhận đăng ký tàu cá, Cơ quan quản lý nhà nước về thủy sản cấp tỉnh trả lời bằng văn bản và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Tờ khai đề nghị cấp lại Giấy chứng nhận đăng ký tàu cá theo Mẫu số 07.ĐKT Phụ lục XVI ban hành kèm theo Thông tư số 01/2022/TT-BNNPTNT;</w:t>
            </w:r>
          </w:p>
        </w:tc>
        <w:tc>
          <w:p/>
          <w:p>
            <w:pPr>
              <w:spacing w:after="0" w:before="0" w:lineRule="auto" w:line="276"/>
              <w:jc w:val="left"/>
            </w:pPr>
            <w:r>
              <w:rPr>
                <w:rFonts w:ascii="Times New Roman" w:hAnsi="Times New Roman" w:cs="Times New Roman" w:eastAsia="Times New Roman"/>
                <w:b w:val="false"/>
                <w:sz w:val="26"/>
              </w:rPr>
              <w:t>Mẫu số 07.docx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Bản chính Giấy chứng nhận đăng ký tàu cá hoặc Giấy xác nhận đã đăng ký, Giấy chứng nhận đăng ký tàu công vụ thủy sản cũ; trường hợp Giấy chứng nhận đăng ký tàu cá bị mất, chủ tàu phải khai báo và nêu rõ lý do;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Bản sao chụp Giấy chứng nhận an toàn kỹ thuật của tàu cá có chiều dài lớn nhất từ 12 mét trở lên;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 Ảnh màu (9 x 12 cm, chụp toàn tàu theo hướng 2 bên mạn tàu).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thủy sản -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cục thủy sản -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Phát triển nông thôn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tàu cá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Luật 18/2017/QH14</w:t>
            </w:r>
          </w:p>
        </w:tc>
        <w:tc>
          <w:p/>
          <w:p>
            <w:pPr>
              <w:spacing w:after="0" w:before="0" w:lineRule="auto" w:line="276"/>
              <w:jc w:val="left"/>
            </w:pPr>
            <w:r>
              <w:rPr>
                <w:rFonts w:ascii="Times New Roman" w:hAnsi="Times New Roman" w:cs="Times New Roman" w:eastAsia="Times New Roman"/>
                <w:b w:val="false"/>
                <w:sz w:val="26"/>
              </w:rPr>
              <w:t>Luật 18/2017/QH14</w:t>
            </w:r>
          </w:p>
        </w:tc>
        <w:tc>
          <w:p/>
          <w:p>
            <w:pPr>
              <w:spacing w:after="0" w:before="0" w:lineRule="auto" w:line="276"/>
              <w:jc w:val="left"/>
            </w:pPr>
            <w:r>
              <w:rPr>
                <w:rFonts w:ascii="Times New Roman" w:hAnsi="Times New Roman" w:cs="Times New Roman" w:eastAsia="Times New Roman"/>
                <w:b w:val="false"/>
                <w:sz w:val="26"/>
              </w:rPr>
              <w:t>21-11-2017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23/2018/TT-BNNPTNT</w:t>
            </w:r>
          </w:p>
        </w:tc>
        <w:tc>
          <w:p/>
          <w:p>
            <w:pPr>
              <w:spacing w:after="0" w:before="0" w:lineRule="auto" w:line="276"/>
              <w:jc w:val="left"/>
            </w:pPr>
            <w:r>
              <w:rPr>
                <w:rFonts w:ascii="Times New Roman" w:hAnsi="Times New Roman" w:cs="Times New Roman" w:eastAsia="Times New Roman"/>
                <w:b w:val="false"/>
                <w:sz w:val="26"/>
              </w:rPr>
              <w:t>Thông tư 23/2018/TT-BNNPTNT</w:t>
            </w:r>
          </w:p>
        </w:tc>
        <w:tc>
          <w:p/>
          <w:p>
            <w:pPr>
              <w:spacing w:after="0" w:before="0" w:lineRule="auto" w:line="276"/>
              <w:jc w:val="left"/>
            </w:pPr>
            <w:r>
              <w:rPr>
                <w:rFonts w:ascii="Times New Roman" w:hAnsi="Times New Roman" w:cs="Times New Roman" w:eastAsia="Times New Roman"/>
                <w:b w:val="false"/>
                <w:sz w:val="26"/>
              </w:rPr>
              <w:t>15-11-2018</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01/2022/TT-BNNPTNT</w:t>
            </w:r>
          </w:p>
        </w:tc>
        <w:tc>
          <w:p/>
          <w:p>
            <w:pPr>
              <w:spacing w:after="0" w:before="0" w:lineRule="auto" w:line="276"/>
              <w:jc w:val="left"/>
            </w:pPr>
            <w:r>
              <w:rPr>
                <w:rFonts w:ascii="Times New Roman" w:hAnsi="Times New Roman" w:cs="Times New Roman" w:eastAsia="Times New Roman"/>
                <w:b w:val="false"/>
                <w:sz w:val="26"/>
              </w:rPr>
              <w:t>Thông tư 01/2022/TT-BNNPTNT</w:t>
            </w:r>
          </w:p>
        </w:tc>
        <w:tc>
          <w:p/>
          <w:p>
            <w:pPr>
              <w:spacing w:after="0" w:before="0" w:lineRule="auto" w:line="276"/>
              <w:jc w:val="left"/>
            </w:pPr>
            <w:r>
              <w:rPr>
                <w:rFonts w:ascii="Times New Roman" w:hAnsi="Times New Roman" w:cs="Times New Roman" w:eastAsia="Times New Roman"/>
                <w:b w:val="false"/>
                <w:sz w:val="26"/>
              </w:rPr>
              <w:t>18-01-2022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2024-03-29T12:01:02Z</dcterms:created>
  <dc:creator>Apache POI</dc:creator>
</cp:coreProperties>
</file>