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w:body>
    <w:p>
      <w:pPr>
        <w:spacing w:after="300" w:before="0" w:lineRule="auto" w:line="276"/>
        <w:jc w:val="center"/>
      </w:pPr>
      <w:r>
        <w:rPr>
          <w:rFonts w:ascii="Times New Roman" w:hAnsi="Times New Roman" w:cs="Times New Roman" w:eastAsia="Times New Roman"/>
          <w:b w:val="true"/>
          <w:sz w:val="26"/>
        </w:rPr>
        <w:t>Chi tiết thủ tục hành chính</w:t>
      </w:r>
    </w:p>
    <w:p>
      <w:pPr>
        <w:spacing w:after="0" w:before="0" w:lineRule="auto" w:line="276"/>
        <w:jc w:val="both"/>
      </w:pPr>
      <w:r>
        <w:rPr>
          <w:rFonts w:ascii="Times New Roman" w:hAnsi="Times New Roman" w:cs="Times New Roman" w:eastAsia="Times New Roman"/>
          <w:b w:val="true"/>
          <w:sz w:val="26"/>
        </w:rPr>
        <w:t xml:space="preserve">Mã thủ tục: </w:t>
      </w:r>
      <w:r>
        <w:rPr>
          <w:rFonts w:ascii="Times New Roman" w:hAnsi="Times New Roman" w:cs="Times New Roman" w:eastAsia="Times New Roman"/>
          <w:b w:val="false"/>
          <w:sz w:val="26"/>
        </w:rPr>
        <w:t>1.003764</w:t>
      </w:r>
    </w:p>
    <w:p>
      <w:pPr>
        <w:spacing w:after="0" w:before="0" w:lineRule="auto" w:line="276"/>
        <w:jc w:val="both"/>
      </w:pPr>
      <w:r>
        <w:rPr>
          <w:rFonts w:ascii="Times New Roman" w:hAnsi="Times New Roman" w:cs="Times New Roman" w:eastAsia="Times New Roman"/>
          <w:b w:val="true"/>
          <w:sz w:val="26"/>
        </w:rPr>
        <w:t xml:space="preserve">Số quyết định: </w:t>
      </w:r>
      <w:r>
        <w:rPr>
          <w:rFonts w:ascii="Times New Roman" w:hAnsi="Times New Roman" w:cs="Times New Roman" w:eastAsia="Times New Roman"/>
          <w:b w:val="false"/>
          <w:sz w:val="26"/>
        </w:rPr>
        <w:t>784/QĐ-BYT</w:t>
      </w:r>
    </w:p>
    <w:p>
      <w:pPr>
        <w:spacing w:after="0" w:before="0" w:lineRule="auto" w:line="276"/>
        <w:jc w:val="both"/>
      </w:pPr>
      <w:r>
        <w:rPr>
          <w:rFonts w:ascii="Times New Roman" w:hAnsi="Times New Roman" w:cs="Times New Roman" w:eastAsia="Times New Roman"/>
          <w:b w:val="true"/>
          <w:sz w:val="26"/>
        </w:rPr>
        <w:t xml:space="preserve">Tên thủ tục: </w:t>
      </w:r>
      <w:r>
        <w:rPr>
          <w:rFonts w:ascii="Times New Roman" w:hAnsi="Times New Roman" w:cs="Times New Roman" w:eastAsia="Times New Roman"/>
          <w:b w:val="false"/>
          <w:sz w:val="26"/>
        </w:rPr>
        <w:t>Khám giám định phúc quyết theo đề nghị của Cục Quản lý Khám, chữa bệnh, Bộ Y tế hoặc Cục Người có công, Bộ LĐTBXH</w:t>
      </w:r>
    </w:p>
    <w:p>
      <w:pPr>
        <w:spacing w:after="0" w:before="0" w:lineRule="auto" w:line="276"/>
        <w:jc w:val="both"/>
      </w:pPr>
      <w:r>
        <w:rPr>
          <w:rFonts w:ascii="Times New Roman" w:hAnsi="Times New Roman" w:cs="Times New Roman" w:eastAsia="Times New Roman"/>
          <w:b w:val="true"/>
          <w:sz w:val="26"/>
        </w:rPr>
        <w:t xml:space="preserve">Cấp thực hiện: </w:t>
      </w:r>
      <w:r>
        <w:rPr>
          <w:rFonts w:ascii="Times New Roman" w:hAnsi="Times New Roman" w:cs="Times New Roman" w:eastAsia="Times New Roman"/>
          <w:b w:val="false"/>
          <w:sz w:val="26"/>
        </w:rPr>
        <w:t>Cơ quan khác</w:t>
      </w:r>
    </w:p>
    <w:p>
      <w:pPr>
        <w:spacing w:after="0" w:before="0" w:lineRule="auto" w:line="276"/>
        <w:jc w:val="both"/>
      </w:pPr>
      <w:r>
        <w:rPr>
          <w:rFonts w:ascii="Times New Roman" w:hAnsi="Times New Roman" w:cs="Times New Roman" w:eastAsia="Times New Roman"/>
          <w:b w:val="true"/>
          <w:sz w:val="26"/>
        </w:rPr>
        <w:t xml:space="preserve">Loại thủ tục: </w:t>
      </w:r>
      <w:r>
        <w:rPr>
          <w:rFonts w:ascii="Times New Roman" w:hAnsi="Times New Roman" w:cs="Times New Roman" w:eastAsia="Times New Roman"/>
          <w:b w:val="false"/>
          <w:sz w:val="26"/>
        </w:rPr>
        <w:t>TTHC được luật giao quy định chi tiết</w:t>
      </w:r>
    </w:p>
    <w:p>
      <w:pPr>
        <w:spacing w:after="0" w:before="0" w:lineRule="auto" w:line="276"/>
        <w:jc w:val="both"/>
      </w:pPr>
      <w:r>
        <w:rPr>
          <w:rFonts w:ascii="Times New Roman" w:hAnsi="Times New Roman" w:cs="Times New Roman" w:eastAsia="Times New Roman"/>
          <w:b w:val="true"/>
          <w:sz w:val="26"/>
        </w:rPr>
        <w:t xml:space="preserve">Lĩnh vực: </w:t>
      </w:r>
      <w:r>
        <w:rPr>
          <w:rFonts w:ascii="Times New Roman" w:hAnsi="Times New Roman" w:cs="Times New Roman" w:eastAsia="Times New Roman"/>
          <w:b w:val="false"/>
          <w:sz w:val="26"/>
        </w:rPr>
        <w:t>Giám định y khoa</w:t>
      </w:r>
    </w:p>
    <w:p>
      <w:pPr>
        <w:spacing w:after="0" w:before="0" w:lineRule="auto" w:line="276"/>
        <w:jc w:val="both"/>
      </w:pPr>
      <w:r>
        <w:rPr>
          <w:rFonts w:ascii="Times New Roman" w:hAnsi="Times New Roman" w:cs="Times New Roman" w:eastAsia="Times New Roman"/>
          <w:b w:val="true"/>
          <w:sz w:val="26"/>
        </w:rPr>
        <w:t xml:space="preserve">Trình tự thực hiện: </w:t>
      </w:r>
    </w:p>
    <w:p>
      <w:pPr>
        <w:shd w:val="clear" w:color="auto" w:fill="F2F6F9"/>
        <w:spacing w:after="0" w:before="120" w:lineRule="auto" w:line="276"/>
        <w:jc w:val="both"/>
      </w:pPr>
      <w:r>
        <w:rPr>
          <w:rFonts w:ascii="Times New Roman" w:hAnsi="Times New Roman" w:cs="Times New Roman" w:eastAsia="Times New Roman"/>
          <w:b w:val="true"/>
          <w:sz w:val="26"/>
        </w:rPr>
        <w:t/>
      </w:r>
    </w:p>
    <w:p>
      <w:pPr>
        <w:spacing w:after="0" w:before="0" w:lineRule="auto" w:line="276"/>
        <w:jc w:val="both"/>
      </w:pPr>
      <w:r>
        <w:rPr>
          <w:rFonts w:ascii="Times New Roman" w:hAnsi="Times New Roman" w:cs="Times New Roman" w:eastAsia="Times New Roman"/>
          <w:b w:val="false"/>
          <w:sz w:val="26"/>
        </w:rPr>
        <w:t>	
Bước 1. Cục Quản lý Khám, chữa bệnh, Bộ Y tế hoặc Cục Người có công, Bộ LĐTBXH có văn bản yêu cầu khám giám định phúc quyết gửi Hội đồng GĐYK cấp Trung ương.</w:t>
      </w:r>
    </w:p>
    <w:p>
      <w:pPr>
        <w:spacing w:after="0" w:before="0" w:lineRule="auto" w:line="276"/>
        <w:jc w:val="both"/>
      </w:pPr>
      <w:r>
        <w:rPr>
          <w:rFonts w:ascii="Times New Roman" w:hAnsi="Times New Roman" w:cs="Times New Roman" w:eastAsia="Times New Roman"/>
          <w:b w:val="false"/>
          <w:sz w:val="26"/>
        </w:rPr>
        <w:t>Bước 2. Trong thời gian 10 ngày làm việc kể từ ngày nhận được văn bản yêu cầu, cơ quan Thường trực của Hội đồng GĐYK cấp tỉnh đã khám giám định chuyển hồ sơ khám giám định của đối tượng đến Hội đồng GĐYT cấp Trung ương để khám giám định phúc quyết.</w:t>
      </w:r>
    </w:p>
    <w:p>
      <w:pPr>
        <w:spacing w:after="0" w:before="0" w:lineRule="auto" w:line="276"/>
        <w:jc w:val="both"/>
      </w:pPr>
      <w:r>
        <w:rPr>
          <w:rFonts w:ascii="Times New Roman" w:hAnsi="Times New Roman" w:cs="Times New Roman" w:eastAsia="Times New Roman"/>
          <w:b w:val="false"/>
          <w:sz w:val="26"/>
        </w:rPr>
        <w:t>Bước 3: Hội đồng GĐYK cấp Trung ương tiếp nhận hồ sơ khám GĐYK, nếu hồ sơ khám GĐYK không đúng quy định tại Thông tư số 20/2016/TTLT-BYT-BLĐTBXH ngày 30/6/2016 thì trong vòng 10 ngày làm việc, kể từ khi tiếp nhận hồ sơ, Hội đồng GĐYK trả lại hồ sơ khám GĐYK cho Hội đồng GĐYK tỉnh kèm theo văn bản nêu rõ lý do.</w:t>
      </w:r>
    </w:p>
    <w:p>
      <w:pPr>
        <w:spacing w:after="0" w:before="0" w:lineRule="auto" w:line="276"/>
        <w:jc w:val="both"/>
      </w:pPr>
      <w:r>
        <w:rPr>
          <w:rFonts w:ascii="Times New Roman" w:hAnsi="Times New Roman" w:cs="Times New Roman" w:eastAsia="Times New Roman"/>
          <w:b w:val="false"/>
          <w:sz w:val="26"/>
        </w:rPr>
        <w:t>Bước 4. Hội đồng GĐYK Trung ương phải thực hiện khám giám định cho đối tượng trong thời gian không quá 45 ngày, kể từ ngày nhận hồ sơ khám GĐYK; Người thực hiện khám GĐYK có trách nhiệm kiểm tra, đối chiếu người đến khám giám định với một trong các giấy tờ của người đó: Giấy chứng minh nhân dân hoặc Căn cước công dân hoặc Hộ chiếu hoặc xác nhận của Công an xã, phường, thị trấn nơi đăng ký hộ khẩu thường trú, có dán ảnh chân dung của đối tượng chụp trên nền trắng cỡ ảnh 4 cm x 6 cm cách ngày lập hồ sơ không quá 6 tháng, đóng dấu giáp lai của Công an xã.</w:t>
      </w:r>
    </w:p>
    <w:p>
      <w:pPr>
        <w:spacing w:after="0" w:before="240" w:lineRule="auto" w:line="276"/>
        <w:jc w:val="both"/>
      </w:pPr>
      <w:r>
        <w:rPr>
          <w:rFonts w:ascii="Times New Roman" w:hAnsi="Times New Roman" w:cs="Times New Roman" w:eastAsia="Times New Roman"/>
          <w:b w:val="true"/>
          <w:sz w:val="26"/>
        </w:rPr>
        <w:t xml:space="preserve">Cách thức thực hiện: </w:t>
      </w:r>
    </w:p>
    <w:tbl>
      <w:tblPr>
        <w:tblW w:w="0" w:type="auto"/>
        <w:tblBorders>
          <w:top w:val="single"/>
          <w:left w:val="single"/>
          <w:bottom w:val="single"/>
          <w:right w:val="single"/>
          <w:insideH w:val="single"/>
          <w:insideV w:val="single"/>
        </w:tblBorders>
      </w:tblPr>
      <w:tr>
        <w:tc>
          <w:tcPr>
            <w:tcW w:w="1500"/>
          </w:tcPr>
          <w:p/>
          <w:p>
            <w:pPr>
              <w:spacing w:after="0" w:before="0" w:lineRule="auto" w:line="276"/>
              <w:jc w:val="center"/>
            </w:pPr>
            <w:r>
              <w:rPr>
                <w:rFonts w:ascii="Times New Roman" w:hAnsi="Times New Roman" w:cs="Times New Roman" w:eastAsia="Times New Roman"/>
                <w:b w:val="true"/>
                <w:sz w:val="26"/>
              </w:rPr>
              <w:t>Hình thức nộp</w:t>
            </w:r>
          </w:p>
        </w:tc>
        <w:tc>
          <w:tcPr>
            <w:tcW w:w="2000"/>
          </w:tcPr>
          <w:p/>
          <w:p>
            <w:pPr>
              <w:spacing w:after="0" w:before="0" w:lineRule="auto" w:line="276"/>
              <w:jc w:val="center"/>
            </w:pPr>
            <w:r>
              <w:rPr>
                <w:rFonts w:ascii="Times New Roman" w:hAnsi="Times New Roman" w:cs="Times New Roman" w:eastAsia="Times New Roman"/>
                <w:b w:val="true"/>
                <w:sz w:val="26"/>
              </w:rPr>
              <w:t>Thời hạn giải quyết</w:t>
            </w:r>
          </w:p>
        </w:tc>
        <w:tc>
          <w:tcPr>
            <w:tcW w:w="3500"/>
          </w:tcPr>
          <w:p/>
          <w:p>
            <w:pPr>
              <w:spacing w:after="0" w:before="0" w:lineRule="auto" w:line="276"/>
              <w:jc w:val="center"/>
            </w:pPr>
            <w:r>
              <w:rPr>
                <w:rFonts w:ascii="Times New Roman" w:hAnsi="Times New Roman" w:cs="Times New Roman" w:eastAsia="Times New Roman"/>
                <w:b w:val="true"/>
                <w:sz w:val="26"/>
              </w:rPr>
              <w:t>Phí, lệ phí</w:t>
            </w:r>
          </w:p>
        </w:tc>
        <w:tc>
          <w:tcPr>
            <w:tcW w:w="3000"/>
          </w:tcPr>
          <w:p/>
          <w:p>
            <w:pPr>
              <w:spacing w:after="0" w:before="0" w:lineRule="auto" w:line="276"/>
              <w:jc w:val="center"/>
            </w:pPr>
            <w:r>
              <w:rPr>
                <w:rFonts w:ascii="Times New Roman" w:hAnsi="Times New Roman" w:cs="Times New Roman" w:eastAsia="Times New Roman"/>
                <w:b w:val="true"/>
                <w:sz w:val="26"/>
              </w:rPr>
              <w:t>Mô tả</w:t>
            </w:r>
          </w:p>
        </w:tc>
      </w:tr>
      <w:tr>
        <w:tc>
          <w:p/>
          <w:p>
            <w:pPr>
              <w:spacing w:after="0" w:before="0" w:lineRule="auto" w:line="276"/>
              <w:jc w:val="left"/>
            </w:pPr>
            <w:r>
              <w:rPr>
                <w:rFonts w:ascii="Times New Roman" w:hAnsi="Times New Roman" w:cs="Times New Roman" w:eastAsia="Times New Roman"/>
                <w:b w:val="false"/>
                <w:sz w:val="26"/>
              </w:rPr>
              <w:t>Trực tiếp</w:t>
            </w:r>
          </w:p>
        </w:tc>
        <w:tc>
          <w:p/>
          <w:p>
            <w:pPr>
              <w:spacing w:after="0" w:before="0" w:lineRule="auto" w:line="276"/>
              <w:jc w:val="left"/>
            </w:pPr>
            <w:r>
              <w:rPr>
                <w:rFonts w:ascii="Times New Roman" w:hAnsi="Times New Roman" w:cs="Times New Roman" w:eastAsia="Times New Roman"/>
                <w:b w:val="false"/>
                <w:sz w:val="26"/>
              </w:rPr>
              <w:t>45 Ngày</w:t>
            </w:r>
          </w:p>
        </w:tc>
        <w:tc>
          <w:p/>
          <w:p>
            <w:pPr>
              <w:spacing w:after="0" w:before="0" w:lineRule="auto" w:line="276"/>
              <w:jc w:val="left"/>
            </w:pPr>
            <w:r>
              <w:rPr>
                <w:rFonts w:ascii="Times New Roman" w:hAnsi="Times New Roman" w:cs="Times New Roman" w:eastAsia="Times New Roman"/>
                <w:b w:val="false"/>
                <w:sz w:val="26"/>
              </w:rPr>
            </w:r>
          </w:p>
        </w:tc>
        <w:tc>
          <w:p/>
          <w:p>
            <w:pPr>
              <w:spacing w:after="0" w:before="0" w:lineRule="auto" w:line="276"/>
              <w:jc w:val="left"/>
            </w:pPr>
            <w:r>
              <w:rPr>
                <w:rFonts w:ascii="Times New Roman" w:hAnsi="Times New Roman" w:cs="Times New Roman" w:eastAsia="Times New Roman"/>
                <w:b w:val="false"/>
                <w:sz w:val="26"/>
              </w:rPr>
              <w:t>45 ngày, kể từ ngày nhận đủ hồ sơ khám GĐYK</w:t>
            </w:r>
          </w:p>
        </w:tc>
      </w:tr>
      <w:tr>
        <w:tc>
          <w:p/>
          <w:p>
            <w:pPr>
              <w:spacing w:after="0" w:before="0" w:lineRule="auto" w:line="276"/>
              <w:jc w:val="left"/>
            </w:pPr>
            <w:r>
              <w:rPr>
                <w:rFonts w:ascii="Times New Roman" w:hAnsi="Times New Roman" w:cs="Times New Roman" w:eastAsia="Times New Roman"/>
                <w:b w:val="false"/>
                <w:sz w:val="26"/>
              </w:rPr>
              <w:t>Dịch vụ bưu chính</w:t>
            </w:r>
          </w:p>
        </w:tc>
        <w:tc>
          <w:p/>
          <w:p>
            <w:pPr>
              <w:spacing w:after="0" w:before="0" w:lineRule="auto" w:line="276"/>
              <w:jc w:val="left"/>
            </w:pPr>
            <w:r>
              <w:rPr>
                <w:rFonts w:ascii="Times New Roman" w:hAnsi="Times New Roman" w:cs="Times New Roman" w:eastAsia="Times New Roman"/>
                <w:b w:val="false"/>
                <w:sz w:val="26"/>
              </w:rPr>
              <w:t>45 Ngày</w:t>
            </w:r>
          </w:p>
        </w:tc>
        <w:tc>
          <w:p/>
          <w:p>
            <w:pPr>
              <w:spacing w:after="0" w:before="0" w:lineRule="auto" w:line="276"/>
              <w:jc w:val="left"/>
            </w:pPr>
            <w:r>
              <w:rPr>
                <w:rFonts w:ascii="Times New Roman" w:hAnsi="Times New Roman" w:cs="Times New Roman" w:eastAsia="Times New Roman"/>
                <w:b w:val="false"/>
                <w:sz w:val="26"/>
              </w:rPr>
            </w:r>
          </w:p>
        </w:tc>
        <w:tc>
          <w:p/>
          <w:p>
            <w:pPr>
              <w:spacing w:after="0" w:before="0" w:lineRule="auto" w:line="276"/>
              <w:jc w:val="left"/>
            </w:pPr>
            <w:r>
              <w:rPr>
                <w:rFonts w:ascii="Times New Roman" w:hAnsi="Times New Roman" w:cs="Times New Roman" w:eastAsia="Times New Roman"/>
                <w:b w:val="false"/>
                <w:sz w:val="26"/>
              </w:rPr>
              <w:t>45 ngày, kể từ ngày nhận đủ hồ sơ khám GĐYK</w:t>
            </w:r>
          </w:p>
        </w:tc>
      </w:tr>
    </w:tbl>
    <w:p>
      <w:pPr>
        <w:spacing w:after="0" w:before="240" w:lineRule="auto" w:line="276"/>
        <w:jc w:val="both"/>
      </w:pPr>
      <w:r>
        <w:rPr>
          <w:rFonts w:ascii="Times New Roman" w:hAnsi="Times New Roman" w:cs="Times New Roman" w:eastAsia="Times New Roman"/>
          <w:b w:val="true"/>
          <w:sz w:val="26"/>
        </w:rPr>
        <w:t xml:space="preserve">Thành phần hồ sơ: </w:t>
      </w:r>
    </w:p>
    <w:p>
      <w:pPr>
        <w:shd w:val="clear" w:color="auto" w:fill="F2F6F9"/>
        <w:spacing w:after="0" w:before="120" w:lineRule="auto" w:line="276"/>
        <w:jc w:val="both"/>
      </w:pPr>
      <w:r>
        <w:rPr>
          <w:rFonts w:ascii="Times New Roman" w:hAnsi="Times New Roman" w:cs="Times New Roman" w:eastAsia="Times New Roman"/>
          <w:b w:val="true"/>
          <w:sz w:val="26"/>
        </w:rPr>
        <w:t>Bao gồm</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Văn bản yêu cầu khám giám định phúc quyết nêu rõ nội dung yêu cầu khám giám định; b) Hồ sơ GĐYK (bản sao) theo quy định tại Khoản 1 hoặc Khoản 2 Điều 10 Thông tư số 20/2016/TTLT-BYT-BLĐTBXH ngày 30/6/2016 và bản sao Biên bản GĐYK của Hội đồng GĐYK đã khám giám định cho đối tượng do Lãnh đạo cơ quan Thường trực Hội đồng đã khám giám định cho đối tượng ký tên và đóng dấu của cơ quan Thường trực Hội đồng.</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bl>
    <w:p>
      <w:pPr>
        <w:spacing w:after="0" w:before="240" w:lineRule="auto" w:line="276"/>
        <w:jc w:val="both"/>
      </w:pPr>
      <w:r>
        <w:rPr>
          <w:rFonts w:ascii="Times New Roman" w:hAnsi="Times New Roman" w:cs="Times New Roman" w:eastAsia="Times New Roman"/>
          <w:b w:val="true"/>
          <w:sz w:val="26"/>
        </w:rPr>
        <w:t xml:space="preserve">Đối tượng thực hiện: </w:t>
      </w:r>
      <w:r>
        <w:rPr>
          <w:rFonts w:ascii="Times New Roman" w:hAnsi="Times New Roman" w:cs="Times New Roman" w:eastAsia="Times New Roman"/>
          <w:b w:val="false"/>
          <w:sz w:val="26"/>
        </w:rPr>
        <w:t>Công dân Việt Nam, Người Việt Nam định cư ở nước ngoài, Cán bộ, công chức, viên chức, Doanh nghiệp, Doanh nghiệp có vốn đầu tư nước ngoài, Tổ chức (không bao gồm doanh nghiệp, HTX), Hợp tác xã</w:t>
      </w:r>
    </w:p>
    <w:p>
      <w:pPr>
        <w:spacing w:after="0" w:before="0" w:lineRule="auto" w:line="276"/>
        <w:jc w:val="both"/>
      </w:pPr>
      <w:r>
        <w:rPr>
          <w:rFonts w:ascii="Times New Roman" w:hAnsi="Times New Roman" w:cs="Times New Roman" w:eastAsia="Times New Roman"/>
          <w:b w:val="true"/>
          <w:sz w:val="26"/>
        </w:rPr>
        <w:t xml:space="preserve">Cơ quan thực hiện: </w:t>
      </w:r>
      <w:r>
        <w:rPr>
          <w:rFonts w:ascii="Times New Roman" w:hAnsi="Times New Roman" w:cs="Times New Roman" w:eastAsia="Times New Roman"/>
          <w:b w:val="false"/>
          <w:sz w:val="26"/>
        </w:rPr>
        <w:t>Hội đồng giám định y khoa trung ương</w:t>
      </w:r>
    </w:p>
    <w:p>
      <w:pPr>
        <w:spacing w:after="0" w:before="0" w:lineRule="auto" w:line="276"/>
        <w:jc w:val="both"/>
      </w:pPr>
      <w:r>
        <w:rPr>
          <w:rFonts w:ascii="Times New Roman" w:hAnsi="Times New Roman" w:cs="Times New Roman" w:eastAsia="Times New Roman"/>
          <w:b w:val="true"/>
          <w:sz w:val="26"/>
        </w:rPr>
        <w:t xml:space="preserve">Cơ quan có thẩm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Địa chỉ tiếp nhận HS: </w:t>
      </w:r>
      <w:r>
        <w:rPr>
          <w:rFonts w:ascii="Times New Roman" w:hAnsi="Times New Roman" w:cs="Times New Roman" w:eastAsia="Times New Roman"/>
          <w:b w:val="false"/>
          <w:sz w:val="26"/>
        </w:rPr>
        <w:t>Hội đồng GĐYK cấp trung ương</w:t>
      </w:r>
    </w:p>
    <w:p>
      <w:pPr>
        <w:spacing w:after="0" w:before="0" w:lineRule="auto" w:line="276"/>
        <w:jc w:val="both"/>
      </w:pPr>
      <w:r>
        <w:rPr>
          <w:rFonts w:ascii="Times New Roman" w:hAnsi="Times New Roman" w:cs="Times New Roman" w:eastAsia="Times New Roman"/>
          <w:b w:val="true"/>
          <w:sz w:val="26"/>
        </w:rPr>
        <w:t xml:space="preserve">Cơ quan được ủy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phối hợp: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Kết quả thực hiện: </w:t>
      </w:r>
      <w:r>
        <w:rPr>
          <w:rFonts w:ascii="Times New Roman" w:hAnsi="Times New Roman" w:cs="Times New Roman" w:eastAsia="Times New Roman"/>
          <w:b w:val="false"/>
          <w:sz w:val="26"/>
        </w:rPr>
        <w:t>Biên bản khám giám định y khoa</w:t>
      </w:r>
    </w:p>
    <w:p>
      <w:pPr>
        <w:spacing w:after="0" w:before="0" w:lineRule="auto" w:line="276"/>
        <w:jc w:val="both"/>
      </w:pPr>
      <w:r>
        <w:rPr>
          <w:rFonts w:ascii="Times New Roman" w:hAnsi="Times New Roman" w:cs="Times New Roman" w:eastAsia="Times New Roman"/>
          <w:b w:val="true"/>
          <w:sz w:val="26"/>
        </w:rPr>
        <w:t xml:space="preserve">Căn cứ pháp lý: </w:t>
      </w:r>
    </w:p>
    <w:tbl>
      <w:tblPr>
        <w:tblW w:w="0" w:type="auto"/>
        <w:tblBorders>
          <w:top w:val="single"/>
          <w:left w:val="single"/>
          <w:bottom w:val="single"/>
          <w:right w:val="single"/>
          <w:insideH w:val="single"/>
          <w:insideV w:val="single"/>
        </w:tblBorders>
      </w:tblPr>
      <w:tr>
        <w:tc>
          <w:tcPr>
            <w:tcW w:w="2000"/>
          </w:tcPr>
          <w:p/>
          <w:p>
            <w:pPr>
              <w:spacing w:after="0" w:before="0" w:lineRule="auto" w:line="276"/>
              <w:jc w:val="center"/>
            </w:pPr>
            <w:r>
              <w:rPr>
                <w:rFonts w:ascii="Times New Roman" w:hAnsi="Times New Roman" w:cs="Times New Roman" w:eastAsia="Times New Roman"/>
                <w:b w:val="true"/>
                <w:sz w:val="26"/>
              </w:rPr>
              <w:t>Số ký hiệu</w:t>
            </w:r>
          </w:p>
        </w:tc>
        <w:tc>
          <w:tcPr>
            <w:tcW w:w="3500"/>
          </w:tcPr>
          <w:p/>
          <w:p>
            <w:pPr>
              <w:spacing w:after="0" w:before="0" w:lineRule="auto" w:line="276"/>
              <w:jc w:val="center"/>
            </w:pPr>
            <w:r>
              <w:rPr>
                <w:rFonts w:ascii="Times New Roman" w:hAnsi="Times New Roman" w:cs="Times New Roman" w:eastAsia="Times New Roman"/>
                <w:b w:val="true"/>
                <w:sz w:val="26"/>
              </w:rPr>
              <w:t>Trích yếu</w:t>
            </w:r>
          </w:p>
        </w:tc>
        <w:tc>
          <w:tcPr>
            <w:tcW w:w="1500"/>
          </w:tcPr>
          <w:p/>
          <w:p>
            <w:pPr>
              <w:spacing w:after="0" w:before="0" w:lineRule="auto" w:line="276"/>
              <w:jc w:val="center"/>
            </w:pPr>
            <w:r>
              <w:rPr>
                <w:rFonts w:ascii="Times New Roman" w:hAnsi="Times New Roman" w:cs="Times New Roman" w:eastAsia="Times New Roman"/>
                <w:b w:val="true"/>
                <w:sz w:val="26"/>
              </w:rPr>
              <w:t>Ngày ban hành</w:t>
            </w:r>
          </w:p>
        </w:tc>
        <w:tc>
          <w:tcPr>
            <w:tcW w:w="3000"/>
          </w:tcPr>
          <w:p/>
          <w:p>
            <w:pPr>
              <w:spacing w:after="0" w:before="0" w:lineRule="auto" w:line="276"/>
              <w:jc w:val="center"/>
            </w:pPr>
            <w:r>
              <w:rPr>
                <w:rFonts w:ascii="Times New Roman" w:hAnsi="Times New Roman" w:cs="Times New Roman" w:eastAsia="Times New Roman"/>
                <w:b w:val="true"/>
                <w:sz w:val="26"/>
              </w:rPr>
              <w:t>Cơ quan ban hành</w:t>
            </w:r>
          </w:p>
        </w:tc>
      </w:tr>
      <w:tr>
        <w:tc>
          <w:p/>
          <w:p>
            <w:pPr>
              <w:spacing w:after="0" w:before="0" w:lineRule="auto" w:line="276"/>
              <w:jc w:val="left"/>
            </w:pPr>
            <w:r>
              <w:rPr>
                <w:rFonts w:ascii="Times New Roman" w:hAnsi="Times New Roman" w:cs="Times New Roman" w:eastAsia="Times New Roman"/>
                <w:b w:val="false"/>
                <w:sz w:val="26"/>
              </w:rPr>
              <w:t>31/2013/NĐ-CP</w:t>
            </w:r>
          </w:p>
        </w:tc>
        <w:tc>
          <w:p/>
          <w:p>
            <w:pPr>
              <w:spacing w:after="0" w:before="0" w:lineRule="auto" w:line="276"/>
              <w:jc w:val="left"/>
            </w:pPr>
            <w:r>
              <w:rPr>
                <w:rFonts w:ascii="Times New Roman" w:hAnsi="Times New Roman" w:cs="Times New Roman" w:eastAsia="Times New Roman"/>
                <w:b w:val="false"/>
                <w:sz w:val="26"/>
              </w:rPr>
              <w:t>Nghị định 31/2013/NĐ-CP - Hướng dẫn Pháp lệnh ưu đãi người có công với cách mạng</w:t>
            </w:r>
          </w:p>
        </w:tc>
        <w:tc>
          <w:p/>
          <w:p>
            <w:pPr>
              <w:spacing w:after="0" w:before="0" w:lineRule="auto" w:line="276"/>
              <w:jc w:val="left"/>
            </w:pPr>
            <w:r>
              <w:rPr>
                <w:rFonts w:ascii="Times New Roman" w:hAnsi="Times New Roman" w:cs="Times New Roman" w:eastAsia="Times New Roman"/>
                <w:b w:val="false"/>
                <w:sz w:val="26"/>
              </w:rPr>
              <w:t>09-04-2013</w:t>
            </w:r>
          </w:p>
        </w:tc>
        <w:tc>
          <w:p/>
          <w:p>
            <w:pPr>
              <w:spacing w:after="0" w:before="0" w:lineRule="auto" w:line="276"/>
              <w:jc w:val="left"/>
            </w:pPr>
            <w:r>
              <w:rPr>
                <w:rFonts w:ascii="Times New Roman" w:hAnsi="Times New Roman" w:cs="Times New Roman" w:eastAsia="Times New Roman"/>
                <w:b w:val="false"/>
                <w:sz w:val="26"/>
              </w:rPr>
              <w:t>Chính phủ</w:t>
            </w:r>
          </w:p>
        </w:tc>
      </w:tr>
      <w:tr>
        <w:tc>
          <w:p/>
          <w:p>
            <w:pPr>
              <w:spacing w:after="0" w:before="0" w:lineRule="auto" w:line="276"/>
              <w:jc w:val="left"/>
            </w:pPr>
            <w:r>
              <w:rPr>
                <w:rFonts w:ascii="Times New Roman" w:hAnsi="Times New Roman" w:cs="Times New Roman" w:eastAsia="Times New Roman"/>
                <w:b w:val="false"/>
                <w:sz w:val="26"/>
              </w:rPr>
              <w:t>26/2005/PL-UBTVQH11</w:t>
            </w:r>
          </w:p>
        </w:tc>
        <w:tc>
          <w:p/>
          <w:p>
            <w:pPr>
              <w:spacing w:after="0" w:before="0" w:lineRule="auto" w:line="276"/>
              <w:jc w:val="left"/>
            </w:pPr>
            <w:r>
              <w:rPr>
                <w:rFonts w:ascii="Times New Roman" w:hAnsi="Times New Roman" w:cs="Times New Roman" w:eastAsia="Times New Roman"/>
                <w:b w:val="false"/>
                <w:sz w:val="26"/>
              </w:rPr>
              <w:t>	 Pháp lệnh 26/2005/PL-UBTVQH11  Ưu đãi người có công với cách mạng</w:t>
            </w:r>
          </w:p>
        </w:tc>
        <w:tc>
          <w:p/>
          <w:p>
            <w:pPr>
              <w:spacing w:after="0" w:before="0" w:lineRule="auto" w:line="276"/>
              <w:jc w:val="left"/>
            </w:pPr>
            <w:r>
              <w:rPr>
                <w:rFonts w:ascii="Times New Roman" w:hAnsi="Times New Roman" w:cs="Times New Roman" w:eastAsia="Times New Roman"/>
                <w:b w:val="false"/>
                <w:sz w:val="26"/>
              </w:rPr>
              <w:t>29-06-2005</w:t>
            </w:r>
          </w:p>
        </w:tc>
        <w:tc>
          <w:p/>
        </w:tc>
      </w:tr>
      <w:tr>
        <w:tc>
          <w:p/>
          <w:p>
            <w:pPr>
              <w:spacing w:after="0" w:before="0" w:lineRule="auto" w:line="276"/>
              <w:jc w:val="left"/>
            </w:pPr>
            <w:r>
              <w:rPr>
                <w:rFonts w:ascii="Times New Roman" w:hAnsi="Times New Roman" w:cs="Times New Roman" w:eastAsia="Times New Roman"/>
                <w:b w:val="false"/>
                <w:sz w:val="26"/>
              </w:rPr>
              <w:t>20/2016/TTLT-BYT-BLĐTBXH</w:t>
            </w:r>
          </w:p>
        </w:tc>
        <w:tc>
          <w:p/>
          <w:p>
            <w:pPr>
              <w:spacing w:after="0" w:before="0" w:lineRule="auto" w:line="276"/>
              <w:jc w:val="left"/>
            </w:pPr>
            <w:r>
              <w:rPr>
                <w:rFonts w:ascii="Times New Roman" w:hAnsi="Times New Roman" w:cs="Times New Roman" w:eastAsia="Times New Roman"/>
                <w:b w:val="false"/>
                <w:sz w:val="26"/>
              </w:rPr>
              <w:t>Thông tư liên tịch 20/2016/TTLT-BYT-BLĐTBXH Hướng dẫn khám giám định bệnh, tật, di dạng, dị tật có liên quan đến phơi nhiễm với chất độc hóa học đối với người hoạt động kháng chến và con đẻ của họ</w:t>
            </w:r>
          </w:p>
        </w:tc>
        <w:tc>
          <w:p/>
          <w:p>
            <w:pPr>
              <w:spacing w:after="0" w:before="0" w:lineRule="auto" w:line="276"/>
              <w:jc w:val="left"/>
            </w:pPr>
            <w:r>
              <w:rPr>
                <w:rFonts w:ascii="Times New Roman" w:hAnsi="Times New Roman" w:cs="Times New Roman" w:eastAsia="Times New Roman"/>
                <w:b w:val="false"/>
                <w:sz w:val="26"/>
              </w:rPr>
              <w:t>30-06-2016</w:t>
            </w:r>
          </w:p>
        </w:tc>
        <w:tc>
          <w:p/>
        </w:tc>
      </w:tr>
    </w:tbl>
    <w:p>
      <w:pPr>
        <w:spacing w:after="0" w:before="240" w:lineRule="auto" w:line="276"/>
        <w:jc w:val="both"/>
      </w:pPr>
      <w:r>
        <w:rPr>
          <w:rFonts w:ascii="Times New Roman" w:hAnsi="Times New Roman" w:cs="Times New Roman" w:eastAsia="Times New Roman"/>
          <w:b w:val="true"/>
          <w:sz w:val="26"/>
        </w:rPr>
        <w:t xml:space="preserve">Yêu cầu, điều kiện thực hiện: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Từ khóa: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Mô tả: </w:t>
      </w:r>
      <w:r>
        <w:rPr>
          <w:rFonts w:ascii="Times New Roman" w:hAnsi="Times New Roman" w:cs="Times New Roman" w:eastAsia="Times New Roman"/>
          <w:b w:val="false"/>
          <w:sz w:val="26"/>
        </w:rPr>
        <w:t>Không có thông tin</w:t>
      </w:r>
    </w:p>
    <w:sectPr>
      <w:pgMar w:left="1702" w:top="1137" w:right="1137" w:bottom="1137"/>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2024-03-28T19:16:32Z</dcterms:created>
  <dc:creator>Apache POI</dc:creator>
</cp:coreProperties>
</file>