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1.003930.000.00.00.H56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3556/QĐ-UBND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lại Giấy chứng nhận đăng ký phương tiện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Đường thủy nội địa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a) Nộp hồ sơ TTHC:
- Tổ chức, cá nhân nộp hồ sơ đề nghị đến cơ quan đăng ký phương tiện có thẩm quyền.
- Cơ quan đăng ký phương tiện bao gồm:
- Sở Giao thông vận tải Thanh Hóa thực hiện đăng ký phương tiện mang cấp VR-SB, phương tiện không có động cơ trọng tải toàn phần trên 15 tấn, phương tiện có động cơ tổng công suất máy chính trên 15 sức ngựa, phương tiện có sức chở trên 12 người của tổ chức, cá nhân có trụ sở hoặc nơi đăng ký hộ khẩu thường trú tại tỉnh Thanh Hóa
- Sở Giao thông Vận tải được tổ chức, thực hiện đăng ký phương tiện thuộc thẩm quyền đăng ký phương tiện của Cơ quan quản lý giao thông cấp huyện là: Phương tiện có động cơ tổng công suất máy chính từ 05 sức ngựa đến 15 sức ngựa hoặc có sức chở từ 05 người đến 12 người của tổ chức, cá nhân có trụ sở hoặc nơi đăng ký hộ khẩu thường trú tại địa bàn quản lý.
- Sở Giao thông Vận tải được tổ chức, thực hiện đăng ký phương tiện thuộc thẩm quyền đăng ký phương tiện của cấp xã, phường, thị trấn là: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
+ Cơ quan quản lý giao thông cấp huyện (Phòng Quản lý đô thị đối với thành phố, thị xã hoặc phòng Kinh tế và Hạ tầng đối với huyện) thực hiện đăng ký phương tiện có động cơ tổng công suất máy chính từ 05 sức ngựa đến 15 sức ngựa hoặc có sức chở từ 05 đến 12 người của tổ chức, cá nhân có trụ sở hoặc nơi đăng ký hộ khẩu thường trú tại địa bàn quản lý;
+ Cơ quan quản lý giao thông cấp huyện (Phòng Quản lý đô thị đối với thành phố, thị xã hoặc phòng Kinh tế và Hạ tầng đối với huyện) được tổ chức, thực hiện đăng ký phương tiện thuộc thẩm quyền đăng ký phương tiện của cấp xã, phường, thị trấn là: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
+ Cấp xã, phường, thị trấn: UBND cấp xã thực hiện đăng ký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w:t>
      </w:r>
    </w:p>
    <w:p>
      <w:pPr>
        <w:spacing w:after="0" w:before="0" w:lineRule="auto" w:line="276"/>
        <w:jc w:val="both"/>
      </w:pPr>
      <w:r>
        <w:rPr>
          <w:rFonts w:ascii="Times New Roman" w:hAnsi="Times New Roman" w:cs="Times New Roman" w:eastAsia="Times New Roman"/>
          <w:b w:val="false"/>
          <w:sz w:val="26"/>
        </w:rPr>
        <w:t xml:space="preserve"> b) Giải quyết TTHC:
- 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
- Trường hợp hồ sơ nhận qua hệ thống bưu điện hoặc hình thức phù hợp khác, nếu hồ sơ không đầy đủ theo quy định, trong thời gian 02 ngày làm việc, kể từ ngày nhận được hồ sơ, có văn bản gửi tổ chức, cá nhân bổ sung, hoàn thiện hồ sơ;
- Trong thời hạn 03 ngày làm việc, kể từ ngày nhận đủ hồ sơ theo quy định, cơ quan đăng ký cấp giấy chứng nhận đăng ký phương tiện cho chủ phương tiện. Trường hợp không cấp phải có văn bản trả lời nêu rõ lý do</w:t>
      </w:r>
    </w:p>
    <w:p>
      <w:pPr>
        <w:spacing w:after="0" w:before="0" w:lineRule="auto" w:line="276"/>
        <w:jc w:val="both"/>
      </w:pPr>
      <w:r>
        <w:rPr>
          <w:rFonts w:ascii="Times New Roman" w:hAnsi="Times New Roman" w:cs="Times New Roman" w:eastAsia="Times New Roman"/>
          <w:b w:val="false"/>
          <w:sz w:val="26"/>
        </w:rPr>
        <w:t xml:space="preserve"> Lưu ý: Khi đến nhận giấy chứng nhận đăng ký phương tiện thủy nội địa hoặc giấy chứng nhận xóa đăng ký phương tiện thủy nội địa phải xuất trình giấy hẹn, chứng minh thư nhân dân, giấy giới thiệu hoặc giấy ủy quyền.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Lệ phí : 70000 Đồng</w:t>
              <w:t xml:space="preserve"> (70.000 đồng/Giấy chứng nhận)</w:t>
            </w:r>
          </w:p>
        </w:tc>
        <w:tc>
          <w:p/>
          <w:p>
            <w:pPr>
              <w:spacing w:after="0" w:before="0" w:lineRule="auto" w:line="276"/>
              <w:jc w:val="left"/>
            </w:pPr>
            <w:r>
              <w:rPr>
                <w:rFonts w:ascii="Times New Roman" w:hAnsi="Times New Roman" w:cs="Times New Roman" w:eastAsia="Times New Roman"/>
                <w:b w:val="false"/>
                <w:sz w:val="26"/>
              </w:rPr>
              <w:t>Trong thời hạn 03 ngày làm việc, kể từ ngày nhận đủ hồ sơ theo quy định.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Lệ phí : 70000 Đồng</w:t>
              <w:t xml:space="preserve"> (70.000 đồng/Giấy chứng nhận)</w:t>
            </w:r>
          </w:p>
        </w:tc>
        <w:tc>
          <w:p/>
          <w:p>
            <w:pPr>
              <w:spacing w:after="0" w:before="0" w:lineRule="auto" w:line="276"/>
              <w:jc w:val="left"/>
            </w:pPr>
            <w:r>
              <w:rPr>
                <w:rFonts w:ascii="Times New Roman" w:hAnsi="Times New Roman" w:cs="Times New Roman" w:eastAsia="Times New Roman"/>
                <w:b w:val="false"/>
                <w:sz w:val="26"/>
              </w:rPr>
              <w:t>Trong thời hạn 03 ngày làm việc, kể từ ngày nhận đủ hồ sơ theo quy định.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Lệ phí : 70000 Đồng</w:t>
              <w:t xml:space="preserve"> (70.000 đồng/Giấy chứng nhận)</w:t>
            </w:r>
          </w:p>
        </w:tc>
        <w:tc>
          <w:p/>
          <w:p>
            <w:pPr>
              <w:spacing w:after="0" w:before="0" w:lineRule="auto" w:line="276"/>
              <w:jc w:val="left"/>
            </w:pPr>
            <w:r>
              <w:rPr>
                <w:rFonts w:ascii="Times New Roman" w:hAnsi="Times New Roman" w:cs="Times New Roman" w:eastAsia="Times New Roman"/>
                <w:b w:val="false"/>
                <w:sz w:val="26"/>
              </w:rPr>
              <w:t>Trong thời hạn 03 ngày làm việc, kể từ ngày nhận đủ hồ sơ theo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Giấy tờ phải nộp để lưu giữ tại cơ quan đăng ký phương tiện: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cấp lại Giấy chứng nhận đăng ký phương tiện thủy nội địa theo mẫu;</w:t>
            </w:r>
          </w:p>
        </w:tc>
        <w:tc>
          <w:p/>
          <w:p>
            <w:pPr>
              <w:spacing w:after="0" w:before="0" w:lineRule="auto" w:line="276"/>
              <w:jc w:val="left"/>
            </w:pPr>
            <w:r>
              <w:rPr>
                <w:rFonts w:ascii="Times New Roman" w:hAnsi="Times New Roman" w:cs="Times New Roman" w:eastAsia="Times New Roman"/>
                <w:b w:val="false"/>
                <w:sz w:val="26"/>
              </w:rPr>
              <w:t>Mẫu33.doc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02 ảnh có kích thước 10 x 15 cm chụp toàn bộ mạn phải của phương tiện ở trạng thái nổi.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đăng ký phương tiện thủy nội địa đã được cấp đối với trường hợp Giấy chứng nhận đăng ký phương tiện bị hỏng.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Xuất trình bản chính Giấy chứng nhận an toàn kỹ thuật và bảo vệ môi trường của phương tiện còn hiệu lực đối với phương tiện thuộc diện đăng kiểm để cơ quan đăng ký phương tiện kiểm tra.</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Giao thông vận tải, Ủy ban nhân dân cấp xã, Phòng Quản lý đô thị, Phòng Kinh tế hạ tầng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Giao thông vận tải, Ủy ban nhân dân cấp xã, Phòng Quản lý đô thị, Phòng Kinh tế hạ tầng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Cấp tỉnh: Bộ phận tiếp nhận và trả kết quả của Sở Giao thông vận tải tại Trung tâm Phục vụ hành chính công tỉnh (Số 28 Đại lộ Lê Lợi, phường Điện Biên, thành phố Thanh Hóa, tỉnh Thanh Hóa)  - Cấp huyện: Bộ phận tiếp nhận và trả kết quả thuộc Văn phòng HĐND &amp; UBND cấp huyện, tỉnh Thanh Hóa  - Cấp xã: Bộ phận tiếp nhận và trả kết quả của UBND cấp xã hoặc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phương tiện thủy nội địa</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23/2004/QH11</w:t>
            </w:r>
          </w:p>
        </w:tc>
        <w:tc>
          <w:p/>
          <w:p>
            <w:pPr>
              <w:spacing w:after="0" w:before="0" w:lineRule="auto" w:line="276"/>
              <w:jc w:val="left"/>
            </w:pPr>
            <w:r>
              <w:rPr>
                <w:rFonts w:ascii="Times New Roman" w:hAnsi="Times New Roman" w:cs="Times New Roman" w:eastAsia="Times New Roman"/>
                <w:b w:val="false"/>
                <w:sz w:val="26"/>
              </w:rPr>
              <w:t>Giao thông đường thủy nội địa</w:t>
            </w:r>
          </w:p>
        </w:tc>
        <w:tc>
          <w:p/>
          <w:p>
            <w:pPr>
              <w:spacing w:after="0" w:before="0" w:lineRule="auto" w:line="276"/>
              <w:jc w:val="left"/>
            </w:pPr>
            <w:r>
              <w:rPr>
                <w:rFonts w:ascii="Times New Roman" w:hAnsi="Times New Roman" w:cs="Times New Roman" w:eastAsia="Times New Roman"/>
                <w:b w:val="false"/>
                <w:sz w:val="26"/>
              </w:rPr>
              <w:t>15-06-2004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48/2014/QH13</w:t>
            </w:r>
          </w:p>
        </w:tc>
        <w:tc>
          <w:p/>
          <w:p>
            <w:pPr>
              <w:spacing w:after="0" w:before="0" w:lineRule="auto" w:line="276"/>
              <w:jc w:val="left"/>
            </w:pPr>
            <w:r>
              <w:rPr>
                <w:rFonts w:ascii="Times New Roman" w:hAnsi="Times New Roman" w:cs="Times New Roman" w:eastAsia="Times New Roman"/>
                <w:b w:val="false"/>
                <w:sz w:val="26"/>
              </w:rPr>
              <w:t>Luật Sửa đổi, bổ sung một số điều của Luật Giao thông đường thủy nội địa</w:t>
            </w:r>
          </w:p>
        </w:tc>
        <w:tc>
          <w:p/>
          <w:p>
            <w:pPr>
              <w:spacing w:after="0" w:before="0" w:lineRule="auto" w:line="276"/>
              <w:jc w:val="left"/>
            </w:pPr>
            <w:r>
              <w:rPr>
                <w:rFonts w:ascii="Times New Roman" w:hAnsi="Times New Roman" w:cs="Times New Roman" w:eastAsia="Times New Roman"/>
                <w:b w:val="false"/>
                <w:sz w:val="26"/>
              </w:rPr>
              <w:t>17-06-2014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198/2016/TT-BTC	</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lệ phí trong lĩnh vực đường thủy nội địa và đường sắt</w:t>
            </w:r>
          </w:p>
        </w:tc>
        <w:tc>
          <w:p/>
          <w:p>
            <w:pPr>
              <w:spacing w:after="0" w:before="0" w:lineRule="auto" w:line="276"/>
              <w:jc w:val="left"/>
            </w:pPr>
            <w:r>
              <w:rPr>
                <w:rFonts w:ascii="Times New Roman" w:hAnsi="Times New Roman" w:cs="Times New Roman" w:eastAsia="Times New Roman"/>
                <w:b w:val="false"/>
                <w:sz w:val="26"/>
              </w:rPr>
              <w:t>08-11-2016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75/2014/TT-BGTVT	</w:t>
            </w:r>
          </w:p>
        </w:tc>
        <w:tc>
          <w:p/>
          <w:p>
            <w:pPr>
              <w:spacing w:after="0" w:before="0" w:lineRule="auto" w:line="276"/>
              <w:jc w:val="left"/>
            </w:pPr>
            <w:r>
              <w:rPr>
                <w:rFonts w:ascii="Times New Roman" w:hAnsi="Times New Roman" w:cs="Times New Roman" w:eastAsia="Times New Roman"/>
                <w:b w:val="false"/>
                <w:sz w:val="26"/>
              </w:rPr>
              <w:t>Quy định về đăng ký phương tiện thủy nội địa</w:t>
            </w:r>
          </w:p>
        </w:tc>
        <w:tc>
          <w:p/>
          <w:p>
            <w:pPr>
              <w:spacing w:after="0" w:before="0" w:lineRule="auto" w:line="276"/>
              <w:jc w:val="left"/>
            </w:pPr>
            <w:r>
              <w:rPr>
                <w:rFonts w:ascii="Times New Roman" w:hAnsi="Times New Roman" w:cs="Times New Roman" w:eastAsia="Times New Roman"/>
                <w:b w:val="false"/>
                <w:sz w:val="26"/>
              </w:rPr>
              <w:t>19-12-2014</w:t>
            </w:r>
          </w:p>
        </w:tc>
        <w:tc>
          <w:p/>
          <w:p>
            <w:pPr>
              <w:spacing w:after="0" w:before="0" w:lineRule="auto" w:line="276"/>
              <w:jc w:val="left"/>
            </w:pPr>
            <w:r>
              <w:rPr>
                <w:rFonts w:ascii="Times New Roman" w:hAnsi="Times New Roman" w:cs="Times New Roman" w:eastAsia="Times New Roman"/>
                <w:b w:val="false"/>
                <w:sz w:val="26"/>
              </w:rPr>
              <w:t>Bộ Giao thông vận tải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2024-03-29T06:01:38Z</dcterms:created>
  <dc:creator>Apache POI</dc:creator>
</cp:coreProperties>
</file>