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1.004047.000.00.00.H56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3556/QĐ-UBND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lần đầu đối với phương tiện đang khai thác trên đường thủy nội địa</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a) Nộp hồ sơ TTHC:
- Tổ chức, cá nhân nộp hồ sơ đề nghị đến cơ quan đăng ký phương tiện có thẩm quyền.
- Cơ quan đăng ký phương tiện bao gồm:
- Sở Giao thông vận tải Thanh Hóa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 trụ sở hoặc nơi đăng ký hộ khẩu thường trú tại tỉnh Thanh Hóa
- Sở Giao thông Vận tải được tổ chức, thực hiện đăng ký phương tiện thuộc thẩm quyền đăng ký phương tiện của Cơ quan quản lý giao thông cấp huyện là: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
- Sở Giao thông Vận tải được tổ chức, thực hiện đăng ký phương tiện thuộc thẩm quyền đăng ký phương tiện của cấp xã, phường, thị trấn là: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
+ Cơ quan quản lý giao thông cấp huyện (Phòng Quản lý đô thị đối với thành phố, thị xã hoặc phòng Kinh tế và Hạ tầng đối với huyện) thực hiện đăng ký phương tiện có động cơ tổng công suất máy chính từ 05 sức ngựa đến 15 sức ngựa hoặc có sức chở từ 05 đến 12 người của tổ chức, cá nhân có trụ sở hoặc nơi đăng ký hộ khẩu thường trú tại địa bàn quản lý;
+ Cơ quan quản lý giao thông cấp huyện (Phòng Quản lý đô thị đối với thành phố, thị xã hoặc phòng Kinh tế và Hạ tầng đối với huyện) được tổ chức, thực hiện đăng ký phương tiện thuộc thẩm quyền đăng ký phương tiện của cấp xã, phường, thị trấn là: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
+ Cấp xã, phường, thị trấn: UBND cấp xã thực hiện đăng ký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p>
    <w:p>
      <w:pPr>
        <w:spacing w:after="0" w:before="0" w:lineRule="auto" w:line="276"/>
        <w:jc w:val="both"/>
      </w:pPr>
      <w:r>
        <w:rPr>
          <w:rFonts w:ascii="Times New Roman" w:hAnsi="Times New Roman" w:cs="Times New Roman" w:eastAsia="Times New Roman"/>
          <w:b w:val="false"/>
          <w:sz w:val="26"/>
        </w:rPr>
        <w:t xml:space="preserve"> b) Giải quyết TTHC:
-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
- Trường hợp hồ sơ nhận qua hệ thống bưu điện hoặc hình thức phù hợp khác, nếu hồ sơ không đầy đủ theo quy định, trong thời gian 02 (hai) ngày làm việc, kể từ ngày nhận được hồ sơ, có văn bản gửi tổ chức, cá nhân bổ sung, hoàn thiện hồ sơ;
- Trong thời hạn 03 ngày làm việc, kể từ ngày nhận đủ hồ sơ theo quy định, cơ quan đăng ký cấp giấy chứng nhận đăng ký phương tiện cho chủ phương tiện. Trường hợp không cấp phải có văn bản trả lời nêu rõ lý do.</w:t>
      </w:r>
    </w:p>
    <w:p>
      <w:pPr>
        <w:spacing w:after="0" w:before="0" w:lineRule="auto" w:line="276"/>
        <w:jc w:val="both"/>
      </w:pPr>
      <w:r>
        <w:rPr>
          <w:rFonts w:ascii="Times New Roman" w:hAnsi="Times New Roman" w:cs="Times New Roman" w:eastAsia="Times New Roman"/>
          <w:b w:val="false"/>
          <w:sz w:val="26"/>
        </w:rPr>
        <w:t xml:space="preserve"> Lưu ý: Khi đến nhận giấy chứng nhận đăng ký phương tiện thủy nội địa hoặc giấy chứng nhận xóa đăng ký phương tiện thủy nội địa phải xuất trình giấy hẹn, chứng minh thư nhân dân, giấy giới thiệu hoặc giấy ủy quyền.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Giấy tờ phải nộp để lưu giữ tại cơ quan đăng ký phương tiện: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đăng ký phương tiện thủy nội địa theo mẫu;</w:t>
            </w:r>
          </w:p>
        </w:tc>
        <w:tc>
          <w:p/>
          <w:p>
            <w:pPr>
              <w:spacing w:after="0" w:before="0" w:lineRule="auto" w:line="276"/>
              <w:jc w:val="left"/>
            </w:pPr>
            <w:r>
              <w:rPr>
                <w:rFonts w:ascii="Times New Roman" w:hAnsi="Times New Roman" w:cs="Times New Roman" w:eastAsia="Times New Roman"/>
                <w:b w:val="false"/>
                <w:sz w:val="26"/>
              </w:rPr>
              <w:t>Mẫu27.doc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02 ảnh có kích thước 10 x 15 cm chụp toàn bộ mạn phải của phương tiện ở trạng thái nổi;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lai nộp lệ phí trước bạ (bản chính) đối với phương tiện thuộc diện phải nộp lệ phí trước bạ;</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kê khai điều kiện an toàn của phương tiện thủy nội địa theo mẫu đối với phương tiện không thuộc diện đăng kiểm.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Xuất trình bản chính các loại giấy tờ sau đây để cơ quan đăng ký phương tiện kiểm tra:</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chứng nhận an toàn kỹ thuật và bảo vệ môi trường của phương tiện còn hiệu lực đối với phương tiện thuộc diện đăng kiểm;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Hợp đồng cho thuê tài chính đối với trường hợp tổ chức cho thuê tài chính đề nghị được đăng ký phương tiện tại nơi đăng ký hộ khẩu thường trú hoặc tạm trú của bên thuê.</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Đối với phương tiện đang khai thác trước ngày 01/01/2005, thực hiện theo quy định tại khoản 1 và khoản 2 Điều 11 Thông tư 75/2014/TT-BGTVT.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Đối với phương tiện được đóng mới trong nước sau ngày 01/01/2005, ngoài việc thực hiện theo quy định tại khoản 1, khoản 2 Điều 11, chủ phương tiện phải xuất trình thêm bản chính của hợp đồng mua bán phương tiện hoặc hợp đồng đóng mới phương tiện đối với phương tiện thuộc diện đăng kiểm để cơ quan đăng ký phương tiện kiểm tra, trừ trường hợp chủ phương tiện là cơ sở đóng mới, hoán cải, sửa chữa và phục hồi phương tiện được phép hoạt động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Giao thông vận tải, Ủy ban nhân dân cấp xã, Phòng Quản lý đô thị, Phòng Kinh tế hạ tầng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Giao thông vận tải, Ủy ban nhân dân cấp xã, Phòng Quản lý đô thị, Phòng Kinh tế hạ tầng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Cấp tỉnh: Bộ phận tiếp nhận và trả kết quả của Sở Giao thông vận tải tại Trung tâm Phục vụ hành chính công tỉnh (Số 28 Đại lộ Lê Lợi, phường Điện Biên, thành phố Thanh Hóa, tỉnh Thanh Hóa)  - Cấp huyện: Bộ phận tiếp nhận và trả kết quả thuộc Văn phòng HĐND &amp; UBND cấp huyện, tỉnh Thanh Hóa  - Cấp xã: Bộ phận tiếp nhận và trả kết quả của UBND cấp xã;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Đăng ký lần đầu đối với phương tiện đang khai thác trên đường thủy nội địa</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198/2016/TT-BTC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lệ phí trong lĩnh vực đường thủy nội địa và đường sắt</w:t>
            </w:r>
          </w:p>
        </w:tc>
        <w:tc>
          <w:p/>
          <w:p>
            <w:pPr>
              <w:spacing w:after="0" w:before="0" w:lineRule="auto" w:line="276"/>
              <w:jc w:val="left"/>
            </w:pPr>
            <w:r>
              <w:rPr>
                <w:rFonts w:ascii="Times New Roman" w:hAnsi="Times New Roman" w:cs="Times New Roman" w:eastAsia="Times New Roman"/>
                <w:b w:val="false"/>
                <w:sz w:val="26"/>
              </w:rPr>
              <w:t>08-11-2016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23/2004/QH11</w:t>
            </w:r>
          </w:p>
        </w:tc>
        <w:tc>
          <w:p/>
          <w:p>
            <w:pPr>
              <w:spacing w:after="0" w:before="0" w:lineRule="auto" w:line="276"/>
              <w:jc w:val="left"/>
            </w:pPr>
            <w:r>
              <w:rPr>
                <w:rFonts w:ascii="Times New Roman" w:hAnsi="Times New Roman" w:cs="Times New Roman" w:eastAsia="Times New Roman"/>
                <w:b w:val="false"/>
                <w:sz w:val="26"/>
              </w:rPr>
              <w:t>Giao thông đường thủy nội địa</w:t>
            </w:r>
          </w:p>
        </w:tc>
        <w:tc>
          <w:p/>
          <w:p>
            <w:pPr>
              <w:spacing w:after="0" w:before="0" w:lineRule="auto" w:line="276"/>
              <w:jc w:val="left"/>
            </w:pPr>
            <w:r>
              <w:rPr>
                <w:rFonts w:ascii="Times New Roman" w:hAnsi="Times New Roman" w:cs="Times New Roman" w:eastAsia="Times New Roman"/>
                <w:b w:val="false"/>
                <w:sz w:val="26"/>
              </w:rPr>
              <w:t>15-06-2004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47/2005/TT-BTC</w:t>
            </w:r>
          </w:p>
        </w:tc>
        <w:tc>
          <w:p/>
          <w:p>
            <w:pPr>
              <w:spacing w:after="0" w:before="0" w:lineRule="auto" w:line="276"/>
              <w:jc w:val="left"/>
            </w:pPr>
            <w:r>
              <w:rPr>
                <w:rFonts w:ascii="Times New Roman" w:hAnsi="Times New Roman" w:cs="Times New Roman" w:eastAsia="Times New Roman"/>
                <w:b w:val="false"/>
                <w:sz w:val="26"/>
              </w:rPr>
              <w:t>Hướng dẫn chế độ thu, nộp và quản lý sử dụng phí, lệ phí quản lý nhà nước về đảm bảo trật tự, an toàn giao thông đường thuỷ nội địa</w:t>
            </w:r>
          </w:p>
        </w:tc>
        <w:tc>
          <w:p/>
          <w:p>
            <w:pPr>
              <w:spacing w:after="0" w:before="0" w:lineRule="auto" w:line="276"/>
              <w:jc w:val="left"/>
            </w:pPr>
            <w:r>
              <w:rPr>
                <w:rFonts w:ascii="Times New Roman" w:hAnsi="Times New Roman" w:cs="Times New Roman" w:eastAsia="Times New Roman"/>
                <w:b w:val="false"/>
                <w:sz w:val="26"/>
              </w:rPr>
              <w:t>08-06-2005</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48/2014/QH13</w:t>
            </w:r>
          </w:p>
        </w:tc>
        <w:tc>
          <w:p/>
          <w:p>
            <w:pPr>
              <w:spacing w:after="0" w:before="0" w:lineRule="auto" w:line="276"/>
              <w:jc w:val="left"/>
            </w:pPr>
            <w:r>
              <w:rPr>
                <w:rFonts w:ascii="Times New Roman" w:hAnsi="Times New Roman" w:cs="Times New Roman" w:eastAsia="Times New Roman"/>
                <w:b w:val="false"/>
                <w:sz w:val="26"/>
              </w:rPr>
              <w:t>Luật Sửa đổi, bổ sung một số điều của Luật Giao thông đường thủy nội địa</w:t>
            </w:r>
          </w:p>
        </w:tc>
        <w:tc>
          <w:p/>
          <w:p>
            <w:pPr>
              <w:spacing w:after="0" w:before="0" w:lineRule="auto" w:line="276"/>
              <w:jc w:val="left"/>
            </w:pPr>
            <w:r>
              <w:rPr>
                <w:rFonts w:ascii="Times New Roman" w:hAnsi="Times New Roman" w:cs="Times New Roman" w:eastAsia="Times New Roman"/>
                <w:b w:val="false"/>
                <w:sz w:val="26"/>
              </w:rPr>
              <w:t>17-06-2014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75/2014/TT-BGTVT</w:t>
            </w:r>
          </w:p>
        </w:tc>
        <w:tc>
          <w:p/>
          <w:p>
            <w:pPr>
              <w:spacing w:after="0" w:before="0" w:lineRule="auto" w:line="276"/>
              <w:jc w:val="left"/>
            </w:pPr>
            <w:r>
              <w:rPr>
                <w:rFonts w:ascii="Times New Roman" w:hAnsi="Times New Roman" w:cs="Times New Roman" w:eastAsia="Times New Roman"/>
                <w:b w:val="false"/>
                <w:sz w:val="26"/>
              </w:rPr>
              <w:t>Quy định về đăng ký phương tiện thủy nội địa</w:t>
            </w:r>
          </w:p>
        </w:tc>
        <w:tc>
          <w:p/>
          <w:p>
            <w:pPr>
              <w:spacing w:after="0" w:before="0" w:lineRule="auto" w:line="276"/>
              <w:jc w:val="left"/>
            </w:pPr>
            <w:r>
              <w:rPr>
                <w:rFonts w:ascii="Times New Roman" w:hAnsi="Times New Roman" w:cs="Times New Roman" w:eastAsia="Times New Roman"/>
                <w:b w:val="false"/>
                <w:sz w:val="26"/>
              </w:rPr>
              <w:t>19-12-2014</w:t>
            </w:r>
          </w:p>
        </w:tc>
        <w:tc>
          <w:p/>
          <w:p>
            <w:pPr>
              <w:spacing w:after="0" w:before="0" w:lineRule="auto" w:line="276"/>
              <w:jc w:val="left"/>
            </w:pPr>
            <w:r>
              <w:rPr>
                <w:rFonts w:ascii="Times New Roman" w:hAnsi="Times New Roman" w:cs="Times New Roman" w:eastAsia="Times New Roman"/>
                <w:b w:val="false"/>
                <w:sz w:val="26"/>
              </w:rPr>
              <w:t>Bộ Giao thông vận tải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2024-03-29T06:49:27Z</dcterms:created>
  <dc:creator>Apache POI</dc:creator>
</cp:coreProperties>
</file>