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1.004193.000.00.00.H32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Đính chính Giấy chứng nhận đã cấp (cấp tỉnh - trường hợp đã thành lập VP đăng ký đất đai)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Người sử dụng đất, chủ sở hữu tài sản gắn liền với đất nộp hồ sơ cho Văn phòng đăng ký đất đai để đính chính.
Trường hợp nhận hồ sơ chưa đầy đủ, chưa hợp lệ thì trong thời gian tối đa 03 ngày, cơ quan tiếp nhận, xử lý hồ sơ phải thông báo và hướng dẫn người nộp hồ sơ bổ sung, hoàn chỉnh hồ sơ theo quy định.
Trường hợp Văn phòng đăng ký đất đai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pPr>
        <w:spacing w:after="0" w:before="0" w:lineRule="auto" w:line="276"/>
        <w:jc w:val="both"/>
      </w:pPr>
      <w:r>
        <w:rPr>
          <w:rFonts w:ascii="Times New Roman" w:hAnsi="Times New Roman" w:cs="Times New Roman" w:eastAsia="Times New Roman"/>
          <w:b w:val="false"/>
          <w:sz w:val="26"/>
        </w:rPr>
        <w:t>b) Văn phòng đăng ký đất đai có trách nhiệm kiểm tra; lập biên bản kết luận về nội dung và nguyên nhân sai sót; lập hồ sơ trình cơ quan có thẩm quyền thực hiện đính chính vào Giấy chứng nhận đã cấp có sai sót; đồng thời chỉnh lý nội dung sai sót vào hồ sơ địa chính, cơ sở dữ liệu đất đai.
Trường hợp đính chính mà người được cấp Giấy chứng nhận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p>
    <w:p>
      <w:pPr>
        <w:spacing w:after="0" w:before="0" w:lineRule="auto" w:line="276"/>
        <w:jc w:val="both"/>
      </w:pPr>
      <w:r>
        <w:rPr>
          <w:rFonts w:ascii="Times New Roman" w:hAnsi="Times New Roman" w:cs="Times New Roman" w:eastAsia="Times New Roman"/>
          <w:b w:val="false"/>
          <w:sz w:val="26"/>
        </w:rPr>
        <w:t>c) Văn phòng đăng ký đất đai trao Giấy chứng nhận cho người sử dụng đất, chủ sở hữu tài sản gắn liền với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p>
            <w:pPr>
              <w:spacing w:after="0" w:before="0" w:lineRule="auto" w:line="276"/>
              <w:jc w:val="left"/>
            </w:pPr>
            <w:r>
              <w:rPr>
                <w:rFonts w:ascii="Times New Roman" w:hAnsi="Times New Roman" w:cs="Times New Roman" w:eastAsia="Times New Roman"/>
                <w:b w:val="false"/>
                <w:sz w:val="26"/>
              </w:rPr>
              <w:t>Phí :  Đồng</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p>
            <w:pPr>
              <w:spacing w:after="0" w:before="0" w:lineRule="auto" w:line="276"/>
              <w:jc w:val="left"/>
            </w:pPr>
            <w:r>
              <w:rPr>
                <w:rFonts w:ascii="Times New Roman" w:hAnsi="Times New Roman" w:cs="Times New Roman" w:eastAsia="Times New Roman"/>
                <w:b w:val="false"/>
                <w:sz w:val="26"/>
              </w:rPr>
              <w:t>Phí :  Đồng</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đính chính Giấy chứng nhận đối với trường hợp phát hiện sai sót do lỗi của người sử dụng đất, chủ sở hữu tài sản gắn liền với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quyền sử dụng đất, quyền sở hữu nhà ở và tài sản gắn liền với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đất đai, Chi nhánh Văn phòng đăng ký đất đai, Sở Tài nguyên và Môi trường - tỉnh Khánh Hòa, UBND cấp huyện-tỉnh Khánh Hòa, 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Tài nguyên và Môi trường, UBND cấp huyện-tỉnh Khánh Hòa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Trung tâm phục vụ hành chính công tỉnh Khánh Hòa (84 Hoàng Hoa Thám, Nha Trang) (đối với tổ chức; hộ gia đình, cá nhân mua nhà ở, công trình xây dựng từ chủ đầu tư trong các dự án phát triển nhà ở và dự án kinh doanh bất động sản không phải dự án phát triển nhà ở); - Bộ phận một cửa UBND cấp huyện (đối với hộ gia đình, cá nhân, cộng đồng dân cư).</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18/2021/NQ-HĐND</w:t>
            </w:r>
          </w:p>
        </w:tc>
        <w:tc>
          <w:p/>
          <w:p>
            <w:pPr>
              <w:spacing w:after="0" w:before="0" w:lineRule="auto" w:line="276"/>
              <w:jc w:val="left"/>
            </w:pPr>
            <w:r>
              <w:rPr>
                <w:rFonts w:ascii="Times New Roman" w:hAnsi="Times New Roman" w:cs="Times New Roman" w:eastAsia="Times New Roman"/>
                <w:b w:val="false"/>
                <w:sz w:val="26"/>
              </w:rPr>
              <w:t>Về việc quy định mức thu, nộp, quản lý và sử dụng phí thẩm định hồ sơ cấp Giấy chứng nhận quyền sử dụng đất; lệ phí cấp Giấy chứng nhận quyền sử dụng đất, quyền sở hữu nhà, tài sản gắn liền với đất trên địa bàn tỉnh Khánh Hòa.</w:t>
            </w:r>
          </w:p>
        </w:tc>
        <w:tc>
          <w:p/>
          <w:p>
            <w:pPr>
              <w:spacing w:after="0" w:before="0" w:lineRule="auto" w:line="276"/>
              <w:jc w:val="left"/>
            </w:pPr>
            <w:r>
              <w:rPr>
                <w:rFonts w:ascii="Times New Roman" w:hAnsi="Times New Roman" w:cs="Times New Roman" w:eastAsia="Times New Roman"/>
                <w:b w:val="false"/>
                <w:sz w:val="26"/>
              </w:rPr>
              <w:t>10-12-2021</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02/2023/TT-BTNMT</w:t>
            </w:r>
          </w:p>
        </w:tc>
        <w:tc>
          <w:p/>
          <w:p>
            <w:pPr>
              <w:spacing w:after="0" w:before="0" w:lineRule="auto" w:line="276"/>
              <w:jc w:val="left"/>
            </w:pPr>
            <w:r>
              <w:rPr>
                <w:rFonts w:ascii="Times New Roman" w:hAnsi="Times New Roman" w:cs="Times New Roman" w:eastAsia="Times New Roman"/>
                <w:b w:val="false"/>
                <w:sz w:val="26"/>
              </w:rPr>
              <w:t>Thông tư số 02/2023/TT-BTNMT ngày 15 tháng 5 năm 2023 sửa đổi, bổ sung một số điều của Thông tư số 23/2014/TT-BTNMT ngày 19 tháng 5 năm 2014 của Bộ trưởng Bộ Tài nguyên và Môi trường quy định về Giấy chứng nhận quyền sử dụng đất, quyền sở hữu nhà ở và tài sản khác gắn liền với đất và sửa đổi, bổ sung một số điều Thông tư số 24/2014/TT -BTNMT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15-05-2023</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SỬA ĐỔI, BỔ SUNG MỘT SỐ ĐIỀU CỦA CÁC THÔNG TƯ LIÊN QUAN ĐẾN VIỆC NỘP, XUẤT TRÌNH SỔ HỘ KHẨU VÀ GIẤY TỜ LIÊN QUAN CƯ TRÚ KHI THỰC HIỆN THỦ TỤC HÀNH CHÍNH, CUNG CẤP DỊCH VỤ CÔNG TRONG LĨNH VỰC ĐẤT ĐAI</w:t>
            </w:r>
          </w:p>
        </w:tc>
        <w:tc>
          <w:p/>
          <w:p>
            <w:pPr>
              <w:spacing w:after="0" w:before="0" w:lineRule="auto" w:line="276"/>
              <w:jc w:val="left"/>
            </w:pPr>
            <w:r>
              <w:rPr>
                <w:rFonts w:ascii="Times New Roman" w:hAnsi="Times New Roman" w:cs="Times New Roman" w:eastAsia="Times New Roman"/>
                <w:b w:val="false"/>
                <w:sz w:val="26"/>
              </w:rPr>
              <w:t>16-10-2023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Sổ đỏ</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2024-03-29T15:01:00Z</dcterms:created>
  <dc:creator>Apache POI</dc:creator>
</cp:coreProperties>
</file>