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1.004203.000.00.00.H32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128/QĐ-UBND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Tách thửa hoặc hợp thửa đất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Người sử dụng đất nộp hồ sơ tại Văn phòng đăng ký đất đai thuộc Sở Tài nguyên và Môi trường hoặc cơ quan tiếp nhận hồ sơ theo quy định của Ủy ban nhân dân cấp tỉnh.
Trường hợp nhận hồ sơ chưa đầy đủ, chưa hợp lệ thì trong thời gian tối đa 03 ngày, cơ quan tiếp nhận, xử lý hồ sơ phải thông báo và hướng dẫn người nộp hồ sơ bổ sung, hoàn chỉnh hồ sơ theo quy định.</w:t>
      </w:r>
    </w:p>
    <w:p>
      <w:pPr>
        <w:spacing w:after="0" w:before="0" w:lineRule="auto" w:line="276"/>
        <w:jc w:val="both"/>
      </w:pPr>
      <w:r>
        <w:rPr>
          <w:rFonts w:ascii="Times New Roman" w:hAnsi="Times New Roman" w:cs="Times New Roman" w:eastAsia="Times New Roman"/>
          <w:b w:val="false"/>
          <w:sz w:val="26"/>
        </w:rPr>
        <w:t>b) Cơ quan tiếp nhận hồ sơ ghi đầy đủ thông tin vào Sổ tiếp nhận hồ sơ và trả kết quả, trao Phiếu tiếp nhận hồ sơ và trả kết quả cho người nộp hồ sơ.</w:t>
      </w:r>
    </w:p>
    <w:p>
      <w:pPr>
        <w:spacing w:after="0" w:before="0" w:lineRule="auto" w:line="276"/>
        <w:jc w:val="both"/>
      </w:pPr>
      <w:r>
        <w:rPr>
          <w:rFonts w:ascii="Times New Roman" w:hAnsi="Times New Roman" w:cs="Times New Roman" w:eastAsia="Times New Roman"/>
          <w:b w:val="false"/>
          <w:sz w:val="26"/>
        </w:rPr>
        <w:t>c) Văn phòng đăng ký quyền sử dụng đất có trách nhiệm thực hiện:
- Đo đạc địa chính để chia tách thửa đất;
- Lập hồ sơ trình cơ quan có thẩm quyền cấp Giấy chứng nhận quyền sử dụng đất, quyền sở hữu nhà ở và tài sản khác gắn liền với đất cho người sử dụng đất đối với thửa đất mới tách, hợp thửa;
- Chỉnh lý, cập nhật biến động vào hồ sơ địa chính, cơ sở dữ liệu đất đai; trao Giấy chứng nhận quyền sử dụng đất, quyền sở hữu nhà ở và tài sản khác gắn liền với đất cho người được cấp.
- Trường hợp tách thửa do chuyển quyền sử dụng một phần thửa đất hoặc do giải quyết tranh chấp, khiếu nại, tố cáo, đấu giá đất hoặc do chia tách hộ gia đình, nhóm người sử dụng đất; do xử lý hợp đồng thế chấp, góp vốn, kê biên bán đấu giá quyền sử dụng đất để thi hành án (sau đây gọi là chuyển quyền) thì Văn phòng đăng ký quyền sử dụng đất thực hiện các công việc sau:
+ Đo đạc địa chính để chia tách thửa đất;
+ Thực hiện thủ tục đăng ký biến động theo quy định đối với phần diện tích chuyển quyền; đồng thời xác nhận thay đổi vào Giấy chứng nhận đã cấp hoặc trình cơ quan có thẩm quyền cấp Giấy chứng nhận đối với phần diện tích còn lại của thửa đất không chuyển quyền; chỉnh lý, cập nhật biến động vào hồ sơ địa chính, cơ sở dữ liệu đất đai; trao cho người sử dụng đất.
- Trường hợp tách thửa do Nhà nước thu hồi một phần thửa đất thì cơ quan tài nguyên và môi trường có trách nhiệm chỉ đạo Văn phòng đăng ký quyền sử dụng đất căn cứ quyết định thu hồi của cơ quan nhà nước có thẩm quyền thực hiện các công việc sau:
+ Đo đạc chỉnh lý bản đồ địa chính, hồ sơ địa chính và cơ sở dữ liệu đất đai;
+ Xác nhận thay đổi vào Giấy chứng nhận đã cấp và trao cho người sử dụng đất.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w:t>
            </w:r>
          </w:p>
          <w:p>
            <w:pPr>
              <w:spacing w:after="0" w:before="0" w:lineRule="auto" w:line="276"/>
              <w:jc w:val="left"/>
            </w:pPr>
            <w:r>
              <w:rPr>
                <w:rFonts w:ascii="Times New Roman" w:hAnsi="Times New Roman" w:cs="Times New Roman" w:eastAsia="Times New Roman"/>
                <w:b w:val="false"/>
                <w:sz w:val="26"/>
              </w:rPr>
              <w:t xml:space="preserve">Lệ phí :  </w:t>
              <w:t xml:space="preserve">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w:t>
            </w:r>
          </w:p>
          <w:p>
            <w:pPr>
              <w:spacing w:after="0" w:before="0" w:lineRule="auto" w:line="276"/>
              <w:jc w:val="left"/>
            </w:pPr>
            <w:r>
              <w:rPr>
                <w:rFonts w:ascii="Times New Roman" w:hAnsi="Times New Roman" w:cs="Times New Roman" w:eastAsia="Times New Roman"/>
                <w:b w:val="false"/>
                <w:sz w:val="26"/>
              </w:rPr>
              <w:t xml:space="preserve">Lệ phí :  </w:t>
              <w:t xml:space="preserve">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1. Hồ sơ khi thực hiện thủ tục tách thửa hoặc hợp thửa đất</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tách thửa hoặc hợp thửa theo Mẫu số 11/ĐK;</w:t>
            </w:r>
          </w:p>
        </w:tc>
        <w:tc>
          <w:p/>
          <w:p>
            <w:pPr>
              <w:spacing w:after="0" w:before="0" w:lineRule="auto" w:line="276"/>
              <w:jc w:val="left"/>
            </w:pPr>
            <w:r>
              <w:rPr>
                <w:rFonts w:ascii="Times New Roman" w:hAnsi="Times New Roman" w:cs="Times New Roman" w:eastAsia="Times New Roman"/>
                <w:b w:val="false"/>
                <w:sz w:val="26"/>
              </w:rPr>
              <w:t>Mau so 11-DK.pdf</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gốc Giấy chứng nhận đã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2. Hồ sơ khi thực hiện thủ tục tách thửa đất từ Giấy chứng nhận đã cấp chung cho nhiều thửa đất để cấp riêng một Giấy chứng nhận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đăng ký biến động đất đai, tài sản gắn liền với đất theo Mẫu số 09/ĐK. Đối với trường hợp thửa đất được tách ra từ Giấy chứng nhận đã cấp chung cho nhiều thửa đất để cấp riêng một Giấy chứng nhận thì không kê khai, không xác nhận các thông tin tại điểm 5 của mục I, các mục II và IV của Đơn đăng ký biến động đất đai, tài sản gắn liền với đất theo Mẫu số 09/ĐK.</w:t>
            </w:r>
          </w:p>
        </w:tc>
        <w:tc>
          <w:p/>
          <w:p>
            <w:pPr>
              <w:spacing w:after="0" w:before="0" w:lineRule="auto" w:line="276"/>
              <w:jc w:val="left"/>
            </w:pPr>
            <w:r>
              <w:rPr>
                <w:rFonts w:ascii="Times New Roman" w:hAnsi="Times New Roman" w:cs="Times New Roman" w:eastAsia="Times New Roman"/>
                <w:b w:val="false"/>
                <w:sz w:val="26"/>
              </w:rPr>
              <w:t>Mau so 09-DK.pdf</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gốc Giấy chứng nhận đã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3. Đối với trường hợp thực hiện thủ tục đăng ký biến động đất đai, tài sản gắn liền với đất  mà có thay đổi thông tin về pháp nhân, số Giấy chứng minh nhân dân, số thẻ Căn cước công dân, số định danh cá nhân, địa chỉ trên Giấy chứng nhận đã cấp thì thực hiện như sau: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cá nhân thì cơ quan giải quyết thủ tục có trách nhiệm khai thác, sử dụng thông tin trong Cơ sở dữ liệu quốc gia về dân cư theo quy định tại Điều 14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tổ chức, cộng đồng dân cư, cơ sở tôn giáo thì nộp bổ sung văn bản của cơ quan có thẩm quyền cho phép hoặc công nhận việc thay đổi thông tin pháp nhân đối với trường hợp thay đổi thông tin về pháp nhân của tổ chức, cơ sở tôn giáo đã ghi trên Giấy chứng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Người Việt Nam định cư ở nước ngoài, Doanh nghiệp, Doanh nghiệp có vốn đầu tư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Tài nguyên và Môi trường - tỉnh Khánh Hòa, UBND cấp huyện-tỉnh Khánh Hòa, UBND cấp xã-tỉnh Khánh Hòa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Văn phòng đăng ký đất đai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quyền sử dụng đất quyền sở hữu nhà ở và tài sản khác gắn liền với đất tài sản khác gắn liền với đất, Ghi vào sổ địa chính và lập hồ sơ để Nhà nước quản lý.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Nghị định 01/2017/NĐ-CP ngày 06 tháng 01 năm 2014 của Chính phủ 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45/2013/QH13	</w:t>
            </w:r>
          </w:p>
        </w:tc>
        <w:tc>
          <w:p/>
          <w:p>
            <w:pPr>
              <w:spacing w:after="0" w:before="0" w:lineRule="auto" w:line="276"/>
              <w:jc w:val="left"/>
            </w:pPr>
            <w:r>
              <w:rPr>
                <w:rFonts w:ascii="Times New Roman" w:hAnsi="Times New Roman" w:cs="Times New Roman" w:eastAsia="Times New Roman"/>
                <w:b w:val="false"/>
                <w:sz w:val="26"/>
              </w:rPr>
              <w:t>Luật 45/2013/QH13</w:t>
            </w:r>
          </w:p>
        </w:tc>
        <w:tc>
          <w:p/>
          <w:p>
            <w:pPr>
              <w:spacing w:after="0" w:before="0" w:lineRule="auto" w:line="276"/>
              <w:jc w:val="left"/>
            </w:pPr>
            <w:r>
              <w:rPr>
                <w:rFonts w:ascii="Times New Roman" w:hAnsi="Times New Roman" w:cs="Times New Roman" w:eastAsia="Times New Roman"/>
                <w:b w:val="false"/>
                <w:sz w:val="26"/>
              </w:rPr>
              <w:t>02-01-2014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02/2014/TT-BTC</w:t>
            </w:r>
          </w:p>
        </w:tc>
        <w:tc>
          <w:p/>
          <w:p>
            <w:pPr>
              <w:spacing w:after="0" w:before="0" w:lineRule="auto" w:line="276"/>
              <w:jc w:val="left"/>
            </w:pPr>
            <w:r>
              <w:rPr>
                <w:rFonts w:ascii="Times New Roman" w:hAnsi="Times New Roman" w:cs="Times New Roman" w:eastAsia="Times New Roman"/>
                <w:b w:val="false"/>
                <w:sz w:val="26"/>
              </w:rPr>
              <w:t>Thông tư số 02/2014/TT-BTC ngày 02/01/2014 của Bộ trưởng Bộ Tài chính hướng dẫn về phí và lệ phí thuộc thẩm quyền quyết định của HĐND tỉnh, thành phố trực thuộc Trung ương</w:t>
            </w:r>
          </w:p>
        </w:tc>
        <w:tc>
          <w:p/>
          <w:p>
            <w:pPr>
              <w:spacing w:after="0" w:before="0" w:lineRule="auto" w:line="276"/>
              <w:jc w:val="left"/>
            </w:pPr>
            <w:r>
              <w:rPr>
                <w:rFonts w:ascii="Times New Roman" w:hAnsi="Times New Roman" w:cs="Times New Roman" w:eastAsia="Times New Roman"/>
                <w:b w:val="false"/>
                <w:sz w:val="26"/>
              </w:rPr>
              <w:t>02-01-2014</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Nghị định 43/2014/NĐ-CP ngày 15 tháng 5 năm 2014 của Chính phủ</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23/2014/TT-BTNMT</w:t>
            </w:r>
          </w:p>
        </w:tc>
        <w:tc>
          <w:p/>
          <w:p>
            <w:pPr>
              <w:spacing w:after="0" w:before="0" w:lineRule="auto" w:line="276"/>
              <w:jc w:val="left"/>
            </w:pPr>
            <w:r>
              <w:rPr>
                <w:rFonts w:ascii="Times New Roman" w:hAnsi="Times New Roman" w:cs="Times New Roman" w:eastAsia="Times New Roman"/>
                <w:b w:val="false"/>
                <w:sz w:val="26"/>
              </w:rPr>
              <w:t>Thông tư số 23/2014/TT-BTNMT ngày 19 tháng 5 năm 2014 của Bộ trưởng Bộ Tài nguyên và Môi trường quy định về giấy chứng nhận quyền sử dụng đất, quyền sở hữu nhà ở và tài sản khác gắn liền với đất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24/2014/TT-BTNMT</w:t>
            </w:r>
          </w:p>
        </w:tc>
        <w:tc>
          <w:p/>
          <w:p>
            <w:pPr>
              <w:spacing w:after="0" w:before="0" w:lineRule="auto" w:line="276"/>
              <w:jc w:val="left"/>
            </w:pPr>
            <w:r>
              <w:rPr>
                <w:rFonts w:ascii="Times New Roman" w:hAnsi="Times New Roman" w:cs="Times New Roman" w:eastAsia="Times New Roman"/>
                <w:b w:val="false"/>
                <w:sz w:val="26"/>
              </w:rPr>
              <w:t>Thông tư số 24/2014/TT-BTNMT ngày 19 tháng 5 năm 2014 của Bộ trưởng Bộ Tài nguyên và Môi trường 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09/2021/TT-BTNMT</w:t>
            </w:r>
          </w:p>
        </w:tc>
        <w:tc>
          <w:p/>
          <w:p>
            <w:pPr>
              <w:spacing w:after="0" w:before="0" w:lineRule="auto" w:line="276"/>
              <w:jc w:val="left"/>
            </w:pPr>
            <w:r>
              <w:rPr>
                <w:rFonts w:ascii="Times New Roman" w:hAnsi="Times New Roman" w:cs="Times New Roman" w:eastAsia="Times New Roman"/>
                <w:b w:val="false"/>
                <w:sz w:val="26"/>
              </w:rPr>
              <w:t>Thông tư số 09/2021/TT-BTNMT ngày 30 tháng 6 năm 2021 của Bộ trưởng Bộ Tài nguyên và Môi trường sửa đổi, bổ sung một số điều của các thông tư quy định chi tiết và hướng dẫn thi hành Luật Đất đai</w:t>
            </w:r>
          </w:p>
        </w:tc>
        <w:tc>
          <w:p/>
          <w:p>
            <w:pPr>
              <w:spacing w:after="0" w:before="0" w:lineRule="auto" w:line="276"/>
              <w:jc w:val="left"/>
            </w:pPr>
            <w:r>
              <w:rPr>
                <w:rFonts w:ascii="Times New Roman" w:hAnsi="Times New Roman" w:cs="Times New Roman" w:eastAsia="Times New Roman"/>
                <w:b w:val="false"/>
                <w:sz w:val="26"/>
              </w:rPr>
              <w:t>30-06-2021</w:t>
            </w:r>
          </w:p>
        </w:tc>
        <w:tc>
          <w:p/>
        </w:tc>
      </w:tr>
      <w:tr>
        <w:tc>
          <w:p/>
          <w:p>
            <w:pPr>
              <w:spacing w:after="0" w:before="0" w:lineRule="auto" w:line="276"/>
              <w:jc w:val="left"/>
            </w:pPr>
            <w:r>
              <w:rPr>
                <w:rFonts w:ascii="Times New Roman" w:hAnsi="Times New Roman" w:cs="Times New Roman" w:eastAsia="Times New Roman"/>
                <w:b w:val="false"/>
                <w:sz w:val="26"/>
              </w:rPr>
              <w:t>18/2021/NQ-HĐND</w:t>
            </w:r>
          </w:p>
        </w:tc>
        <w:tc>
          <w:p/>
          <w:p>
            <w:pPr>
              <w:spacing w:after="0" w:before="0" w:lineRule="auto" w:line="276"/>
              <w:jc w:val="left"/>
            </w:pPr>
            <w:r>
              <w:rPr>
                <w:rFonts w:ascii="Times New Roman" w:hAnsi="Times New Roman" w:cs="Times New Roman" w:eastAsia="Times New Roman"/>
                <w:b w:val="false"/>
                <w:sz w:val="26"/>
              </w:rPr>
              <w:t>Về việc quy định mức thu, nộp, quản lý và sử dụng phí thẩm định hồ sơ cấp Giấy chứng nhận quyền sử dụng đất; lệ phí cấp Giấy chứng nhận quyền sử dụng đất, quyền sở hữu nhà, tài sản gắn liền với đất trên địa bàn tỉnh Khánh Hòa.</w:t>
            </w:r>
          </w:p>
        </w:tc>
        <w:tc>
          <w:p/>
          <w:p>
            <w:pPr>
              <w:spacing w:after="0" w:before="0" w:lineRule="auto" w:line="276"/>
              <w:jc w:val="left"/>
            </w:pPr>
            <w:r>
              <w:rPr>
                <w:rFonts w:ascii="Times New Roman" w:hAnsi="Times New Roman" w:cs="Times New Roman" w:eastAsia="Times New Roman"/>
                <w:b w:val="false"/>
                <w:sz w:val="26"/>
              </w:rPr>
              <w:t>10-12-2021</w:t>
            </w:r>
          </w:p>
        </w:tc>
        <w:tc>
          <w:p/>
          <w:p>
            <w:pPr>
              <w:spacing w:after="0" w:before="0" w:lineRule="auto" w:line="276"/>
              <w:jc w:val="left"/>
            </w:pPr>
            <w:r>
              <w:rPr>
                <w:rFonts w:ascii="Times New Roman" w:hAnsi="Times New Roman" w:cs="Times New Roman" w:eastAsia="Times New Roman"/>
                <w:b w:val="false"/>
                <w:sz w:val="26"/>
              </w:rPr>
              <w:t>Hội đồng nhân dân tỉnh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Đảm bảo điều kiện tách thửa đất, điều kiện hợp thửa đất theo từng loại đất và diện tích tối thiểu được tách thửa đối với từng loại đất theo quy định của Ủy ban nhân dân cấp tỉnh.
- Đối với trường hợp thực hiện thủ tục trên môi trường điện tử: Căn cứ điều kiện cụ thể về hạ tầng kỹ thuật công nghệ thông tin đất đai và cơ sở dữ liệu đất đai đang quản lý, cơ quan tiếp nhận hồ sơ và trả kết quả giải quyết thủ tục hành chính về đất đai quy định tại Điều 60 của Nghị định số 43/2014/NĐ-CP ngày 15/5/2014 của Chính phủ quy định chi tiết thi hành một số điều của Luật Đất đai (được sửa đổi, bổ sung tại khoản 7 Điều 1 của Nghị định số 10/2023/NĐ-CP ngày 03/4/2023 sửa đổi, bổ sung một số điều của các nghị định hướng dẫn thi hành Luật Đất đai) có trách nhiệm tổ chức việc tiếp nhận hồ sơ và trả kết quả giải quyết thủ tục hành chính trên môi trường điện tử theo quy định của Chính phủ.</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Sổ đỏ</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2024-03-29T08:31:52Z</dcterms:created>
  <dc:creator>Apache POI</dc:creator>
</cp:coreProperties>
</file>