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1.004433.000.00.00.H18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1721/QĐ-UBND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Đấu giá quyền khai thác khoáng sản ở khu vực đã có kết quả thăm dò khoáng sản được cơ quan nhà nước có thẩm quyền phê duyệt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Địa chất và khoáng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Bước 1. Nộp hồ sơ đề nghị tham gia đấu giá:
Tổ chức, cá nhân có nhu cầu tham gia đấu giá quyền khai thác khoáng sản phải lập hồ sơ đề nghị tham gia đấu giá quyền khai thác khoáng sản và nộp cho cơ quan tiếp nhận hồ sơ đấu giá là Bộ phận tiếp nhận và trả kết quả - Sở Tài nguyên và Môi trường tỉnh Điện Biên theo địa chỉ: Số 315, đường Võ Nguyên Giáp, phường Him Lam, thành phố Điện Biên Phủ, tỉnh Điện Biên. </w:t>
      </w:r>
    </w:p>
    <w:p>
      <w:pPr>
        <w:spacing w:after="0" w:before="0" w:lineRule="auto" w:line="276"/>
        <w:jc w:val="both"/>
      </w:pPr>
      <w:r>
        <w:rPr>
          <w:rFonts w:ascii="Times New Roman" w:hAnsi="Times New Roman" w:cs="Times New Roman" w:eastAsia="Times New Roman"/>
          <w:b w:val="false"/>
          <w:sz w:val="26"/>
        </w:rPr>
        <w:t>- Bước 2. Tiếp nhận, xét chọn hồ sơ đề nghị tham gia phiên đấu giá quyền khai thác khoáng sản:
+ Sở Tài nguyên và Môi trường tiếp nhận hồ sơ đề nghị tham gia đấu giá quyền khai thác khoáng sản trong thời gian là 30 ngày, kể từ ngày kết thúc thông báo thông tin về phiên đấu giá.
+ Sau khi hết thời hạn tiếp nhận hồ sơ đăng ký tham gia đấu giá quyền khai thác khoáng sản, Sở Tài nguyên và Môi trường tiến hành xét chọn hồ sơ để lựa chọn tổ chức, cá nhân đủ điều kiện tham gia phiên đấu giá.
+ Đối với hồ sơ đề nghị tham gia đấu giá quyền khai thác khoáng sản không được xét chọn, Sở Tài nguyên và Môi trường phải thông báo cho tổ chức, cá nhân liên quan bằng văn bản, trong đó nêu rõ lý do không được xét chọn.
+ Đối với hồ sơ được xét chọn, Sở Tài nguyên và Môi trường có trách nhiệm thông báo công khai danh sách tổ chức, cá nhân được tham gia phiên đấu giá tại trụ sở cơ quan và đăng tải trên trang thông tin điện tử của Ủy ban nhân dân cấp tỉnh trước khi tiến hành phiên đấu giá; thông báo bằng văn bản về thời gian, địa điểm họp trao đổi về các thông tin liên quan đến phiên đấu giá; thời điểm khảo sát thực địa khu vực đấu giá; thời gian nộp phí tham gia đấu giá và tiền đặt trước cho tổ chức, cá nhân được tham gia phiên đấu giá.</w:t>
      </w:r>
    </w:p>
    <w:p>
      <w:pPr>
        <w:spacing w:after="0" w:before="0" w:lineRule="auto" w:line="276"/>
        <w:jc w:val="both"/>
      </w:pPr>
      <w:r>
        <w:rPr>
          <w:rFonts w:ascii="Times New Roman" w:hAnsi="Times New Roman" w:cs="Times New Roman" w:eastAsia="Times New Roman"/>
          <w:b w:val="false"/>
          <w:sz w:val="26"/>
        </w:rPr>
        <w:t>- Bước 3. Nộp tiền đặt trước:
Tổ chức, cá nhân tham gia đấu giá quyền khai thác khoáng sản phải nộp tiền đặt trước trước khi tham gia phiên đấu giá. Tiền đặt trước có thể nộp bằng tiền mặt hoặc bằng bảo lãnh dự đấu giá theo phương thức như sau:
+ Trường hợp nộp bằng tiền mặt, tổ chức, cá nhân tham gia đấu giá phải nộp vào tài khoản tạm giữ của Sở Tài nguyên và Môi trường;
+ Trường hợp nộp bằng bảo lãnh dự đấu giá, tổ chức, cá nhân đề nghị tham gia đấu giá phải nộp bảo lãnh dự đấu giá cho Sở Tài nguyên và Môi trường.</w:t>
      </w:r>
    </w:p>
    <w:p>
      <w:pPr>
        <w:spacing w:after="0" w:before="0" w:lineRule="auto" w:line="276"/>
        <w:jc w:val="both"/>
      </w:pPr>
      <w:r>
        <w:rPr>
          <w:rFonts w:ascii="Times New Roman" w:hAnsi="Times New Roman" w:cs="Times New Roman" w:eastAsia="Times New Roman"/>
          <w:b w:val="false"/>
          <w:sz w:val="26"/>
        </w:rPr>
        <w:t>- Bước 4. Tổ chức phiên đấu giá quyền khai thác khoáng sản:
+ Phiên đấu giá quyền khai thác khoáng sản chỉ được tiến hành khi có ít nhất 02 tổ chức, cá nhân tham gia đấu giá;
+ Chủ tịch Hội đồng đấu giá hoặc người điều hành phiên đấu giá tiến hành điều hành phiên đấu giá theo quy định.</w:t>
      </w:r>
    </w:p>
    <w:p>
      <w:pPr>
        <w:spacing w:after="0" w:before="0" w:lineRule="auto" w:line="276"/>
        <w:jc w:val="both"/>
      </w:pPr>
      <w:r>
        <w:rPr>
          <w:rFonts w:ascii="Times New Roman" w:hAnsi="Times New Roman" w:cs="Times New Roman" w:eastAsia="Times New Roman"/>
          <w:b w:val="false"/>
          <w:sz w:val="26"/>
        </w:rPr>
        <w:t>- Bước 5. Trình, phê duyệt kết quả trúng đấu giá quyền khai thác khoáng sản:
Sau khi kết thúc phiên đấu giá quyền khai thác khoáng sản, Sở Tài nguyên và Môi trường phải trình Ủy ban nhân dân cấp tỉnh xem xet và phê duyệt kết quả trúng đấu giá.</w:t>
      </w:r>
    </w:p>
    <w:p>
      <w:pPr>
        <w:spacing w:after="0" w:before="0" w:lineRule="auto" w:line="276"/>
        <w:jc w:val="both"/>
      </w:pPr>
      <w:r>
        <w:rPr>
          <w:rFonts w:ascii="Times New Roman" w:hAnsi="Times New Roman" w:cs="Times New Roman" w:eastAsia="Times New Roman"/>
          <w:b w:val="false"/>
          <w:sz w:val="26"/>
        </w:rPr>
        <w:t>- Bước 6. Thông báo kết quả trúng đấu giá quyền khai thác khoáng sản:
Sở Tài nguyên và Môi trường thông báo công khai tại trụ sở cơ quan tiếp nhận hồ sơ đấu giá và trang thông tin điện tử của Ủy ban nhân nhân cấp tỉnh.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Tùy theo giai đoạn xử lý hồ sơ </w:t>
            </w:r>
          </w:p>
        </w:tc>
        <w:tc>
          <w:p/>
          <w:p>
            <w:pPr>
              <w:spacing w:after="0" w:before="0" w:lineRule="auto" w:line="276"/>
              <w:jc w:val="left"/>
            </w:pPr>
            <w:r>
              <w:rPr>
                <w:rFonts w:ascii="Times New Roman" w:hAnsi="Times New Roman" w:cs="Times New Roman" w:eastAsia="Times New Roman"/>
                <w:b w:val="false"/>
                <w:sz w:val="26"/>
              </w:rPr>
              <w:t xml:space="preserve">Phí :  </w:t>
              <w:t xml:space="preserve"> (Không)</w:t>
            </w:r>
          </w:p>
        </w:tc>
        <w:tc>
          <w:p/>
          <w:p>
            <w:pPr>
              <w:spacing w:after="0" w:before="0" w:lineRule="auto" w:line="276"/>
              <w:jc w:val="left"/>
            </w:pPr>
            <w:r>
              <w:rPr>
                <w:rFonts w:ascii="Times New Roman" w:hAnsi="Times New Roman" w:cs="Times New Roman" w:eastAsia="Times New Roman"/>
                <w:b w:val="false"/>
                <w:sz w:val="26"/>
              </w:rPr>
              <w:t>- Thời gian tiếp nhận hồ sơ đề nghị tham gia đấu giá quyền khai thác khoáng sản ít
nhất là 15 ngày làm việc, kể từ ngày niêm yết việc đấu giá.
- Trong thời gian không quá 01 ngày, kể từ ngày hết hạn tiếp nhận hồ sơ đề nghị
tham gia đấu giá, Sở Tài nguyên và Môi trường phải hoàn thành phương án xét chọn
hồ sơ của tổ chức, cá nhân đề nghị tham gia cuộc đấu giá.
- Thời gian nộp tiền đặt trước được thông báo trong hồ sơ mời đấu giá quyền
khai thác khoáng sản trước khi tổ chức cuộc đấu giá ít nhất là 03 ngày.
- Trong thời gian không quá 05 ngày làm việc, kể từ ngày kết thúc cuộc đấu giá
quyền khai thác khoáng sản, Sở Tài nguyên và Môi trường phải trình Ủy ban nhân dân
tỉnh hồ sơ phê duyệt kết quả trúng đấu giá.
- Trong thời gian không quá 05 ngày làm việc, kể từ ngày nhận được hồ sơ phê
duyệt kết quả trúng đấu giá, Ủy ban nhân dân tỉnh phải ban hành văn bản phê duyệt
kết quả trúng đấu giá.
- Thời gian thông báo và đăng tải công khai kết quả trúng đấu giá là 05 ngày, kể
từ ngày kết thúc cuộc đấu giá.</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Tùy theo giai đoạn xử lý hồ sơ </w:t>
            </w:r>
          </w:p>
        </w:tc>
        <w:tc>
          <w:p/>
          <w:p>
            <w:pPr>
              <w:spacing w:after="0" w:before="0" w:lineRule="auto" w:line="276"/>
              <w:jc w:val="left"/>
            </w:pPr>
            <w:r>
              <w:rPr>
                <w:rFonts w:ascii="Times New Roman" w:hAnsi="Times New Roman" w:cs="Times New Roman" w:eastAsia="Times New Roman"/>
                <w:b w:val="false"/>
                <w:sz w:val="26"/>
              </w:rPr>
              <w:t xml:space="preserve">Phí :  </w:t>
              <w:t xml:space="preserve"> (Không)</w:t>
            </w:r>
          </w:p>
        </w:tc>
        <w:tc>
          <w:p/>
          <w:p>
            <w:pPr>
              <w:spacing w:after="0" w:before="0" w:lineRule="auto" w:line="276"/>
              <w:jc w:val="left"/>
            </w:pPr>
            <w:r>
              <w:rPr>
                <w:rFonts w:ascii="Times New Roman" w:hAnsi="Times New Roman" w:cs="Times New Roman" w:eastAsia="Times New Roman"/>
                <w:b w:val="false"/>
                <w:sz w:val="26"/>
              </w:rPr>
              <w:t>- Thời gian tiếp nhận hồ sơ đề nghị tham gia đấu giá quyền khai thác khoáng sản ít
nhất là 15 ngày làm việc, kể từ ngày niêm yết việc đấu giá.
- Trong thời gian không quá 01 ngày, kể từ ngày hết hạn tiếp nhận hồ sơ đề nghị
tham gia đấu giá, Sở Tài nguyên và Môi trường phải hoàn thành phương án xét chọn
hồ sơ của tổ chức, cá nhân đề nghị tham gia cuộc đấu giá.
- Thời gian nộp tiền đặt trước được thông báo trong hồ sơ mời đấu giá quyền
khai thác khoáng sản trước khi tổ chức cuộc đấu giá ít nhất là 03 ngày.
- Trong thời gian không quá 05 ngày làm việc, kể từ ngày kết thúc cuộc đấu giá
quyền khai thác khoáng sản, Sở Tài nguyên và Môi trường phải trình Ủy ban nhân dân
tỉnh hồ sơ phê duyệt kết quả trúng đấu giá.
- Trong thời gian không quá 05 ngày làm việc, kể từ ngày nhận được hồ sơ phê
duyệt kết quả trúng đấu giá, Ủy ban nhân dân tỉnh phải ban hành văn bản phê duyệt
kết quả trúng đấu giá.
- Thời gian thông báo và đăng tải công khai kết quả trúng đấu giá là 05 ngày, kể
từ ngày kết thúc cuộc đấu giá.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Tùy theo giai đoạn xử lý hồ sơ </w:t>
            </w:r>
          </w:p>
        </w:tc>
        <w:tc>
          <w:p/>
          <w:p>
            <w:pPr>
              <w:spacing w:after="0" w:before="0" w:lineRule="auto" w:line="276"/>
              <w:jc w:val="left"/>
            </w:pPr>
            <w:r>
              <w:rPr>
                <w:rFonts w:ascii="Times New Roman" w:hAnsi="Times New Roman" w:cs="Times New Roman" w:eastAsia="Times New Roman"/>
                <w:b w:val="false"/>
                <w:sz w:val="26"/>
              </w:rPr>
              <w:t xml:space="preserve">Phí :  </w:t>
              <w:t xml:space="preserve"> (Không)</w:t>
            </w:r>
          </w:p>
        </w:tc>
        <w:tc>
          <w:p/>
          <w:p>
            <w:pPr>
              <w:spacing w:after="0" w:before="0" w:lineRule="auto" w:line="276"/>
              <w:jc w:val="left"/>
            </w:pPr>
            <w:r>
              <w:rPr>
                <w:rFonts w:ascii="Times New Roman" w:hAnsi="Times New Roman" w:cs="Times New Roman" w:eastAsia="Times New Roman"/>
                <w:b w:val="false"/>
                <w:sz w:val="26"/>
              </w:rPr>
              <w:t>- Thời gian tiếp nhận hồ sơ đề nghị tham gia đấu giá quyền khai thác khoáng sản ít
nhất là 15 ngày làm việc, kể từ ngày niêm yết việc đấu giá.
- Trong thời gian không quá 01 ngày, kể từ ngày hết hạn tiếp nhận hồ sơ đề nghị
tham gia đấu giá, Sở Tài nguyên và Môi trường phải hoàn thành phương án xét chọn
hồ sơ của tổ chức, cá nhân đề nghị tham gia cuộc đấu giá.
- Thời gian nộp tiền đặt trước được thông báo trong hồ sơ mời đấu giá quyền
khai thác khoáng sản trước khi tổ chức cuộc đấu giá ít nhất là 03 ngày.
- Trong thời gian không quá 05 ngày làm việc, kể từ ngày kết thúc cuộc đấu giá
quyền khai thác khoáng sản, Sở Tài nguyên và Môi trường phải trình Ủy ban nhân dân
tỉnh hồ sơ phê duyệt kết quả trúng đấu giá.
- Trong thời gian không quá 05 ngày làm việc, kể từ ngày nhận được hồ sơ phê
duyệt kết quả trúng đấu giá, Ủy ban nhân dân tỉnh phải ban hành văn bản phê duyệt
kết quả trúng đấu giá.
- Thời gian thông báo và đăng tải công khai kết quả trúng đấu giá là 05 ngày, kể
từ ngày kết thúc cuộc đấu giá.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tham gia đấu giá quyền khai thác khoáng sản;</w:t>
            </w:r>
          </w:p>
        </w:tc>
        <w:tc>
          <w:p/>
          <w:p>
            <w:pPr>
              <w:spacing w:after="0" w:before="0" w:lineRule="auto" w:line="276"/>
              <w:jc w:val="left"/>
            </w:pPr>
            <w:r>
              <w:rPr>
                <w:rFonts w:ascii="Times New Roman" w:hAnsi="Times New Roman" w:cs="Times New Roman" w:eastAsia="Times New Roman"/>
                <w:b w:val="false"/>
                <w:sz w:val="26"/>
              </w:rPr>
              <w:t>Mẫu số 01 - don tham gia dau gia khoang san.docx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hoặc bản sao có chứng thực hoặc bản sao có bản chính kèm theo để đối chiếu của giấy tờ sau: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chứng nhận đăng ký kinh doanh hoặc Giấy chứng nhận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Văn bản giới thiệu năng lực, kinh nghiệm trong thăm dò, khai thác và chế biến khoáng sản;</w:t>
            </w:r>
          </w:p>
        </w:tc>
        <w:tc>
          <w:p/>
          <w:p>
            <w:pPr>
              <w:spacing w:after="0" w:before="0" w:lineRule="auto" w:line="276"/>
              <w:jc w:val="left"/>
            </w:pPr>
            <w:r>
              <w:rPr>
                <w:rFonts w:ascii="Times New Roman" w:hAnsi="Times New Roman" w:cs="Times New Roman" w:eastAsia="Times New Roman"/>
                <w:b w:val="false"/>
                <w:sz w:val="26"/>
              </w:rPr>
              <w:t>Mẫu số 02 - ho so gioi thieu dau gia khoang san.docx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Giới thiệu năng lực tài chính và khả năng huy động tài chính.</w:t>
            </w:r>
          </w:p>
        </w:tc>
        <w:tc>
          <w:p/>
          <w:p>
            <w:pPr>
              <w:spacing w:after="0" w:before="0" w:lineRule="auto" w:line="276"/>
              <w:jc w:val="left"/>
            </w:pPr>
            <w:r>
              <w:rPr>
                <w:rFonts w:ascii="Times New Roman" w:hAnsi="Times New Roman" w:cs="Times New Roman" w:eastAsia="Times New Roman"/>
                <w:b w:val="false"/>
                <w:sz w:val="26"/>
              </w:rPr>
              <w:t>Mẫu số 03- ban cam ket thuc hien du an khoang san.docx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Tỉnh, Sở Tài nguyên Môi trường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Tài nguyên và Môi trường tỉnh Điện Biên (số 315, tổ 12, phường Him Lam,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Sở Tư pháp, Sở Kế hoạch và Đầu tư, Sở Tài chính, Sở Công thương, Sở Xây dựng, Ủy ban nhân dân cấp Huyện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phê duyệt kết quả trúng đấu giá.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60/2010/QH12</w:t>
            </w:r>
          </w:p>
        </w:tc>
        <w:tc>
          <w:p/>
          <w:p>
            <w:pPr>
              <w:spacing w:after="0" w:before="0" w:lineRule="auto" w:line="276"/>
              <w:jc w:val="left"/>
            </w:pPr>
            <w:r>
              <w:rPr>
                <w:rFonts w:ascii="Times New Roman" w:hAnsi="Times New Roman" w:cs="Times New Roman" w:eastAsia="Times New Roman"/>
                <w:b w:val="false"/>
                <w:sz w:val="26"/>
              </w:rPr>
              <w:t>Luật 60/2010/QH12</w:t>
            </w:r>
          </w:p>
        </w:tc>
        <w:tc>
          <w:p/>
          <w:p>
            <w:pPr>
              <w:spacing w:after="0" w:before="0" w:lineRule="auto" w:line="276"/>
              <w:jc w:val="left"/>
            </w:pPr>
            <w:r>
              <w:rPr>
                <w:rFonts w:ascii="Times New Roman" w:hAnsi="Times New Roman" w:cs="Times New Roman" w:eastAsia="Times New Roman"/>
                <w:b w:val="false"/>
                <w:sz w:val="26"/>
              </w:rPr>
              <w:t>17-11-2010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22/2012/NĐ-CP</w:t>
            </w:r>
          </w:p>
        </w:tc>
        <w:tc>
          <w:p/>
          <w:p>
            <w:pPr>
              <w:spacing w:after="0" w:before="0" w:lineRule="auto" w:line="276"/>
              <w:jc w:val="left"/>
            </w:pPr>
            <w:r>
              <w:rPr>
                <w:rFonts w:ascii="Times New Roman" w:hAnsi="Times New Roman" w:cs="Times New Roman" w:eastAsia="Times New Roman"/>
                <w:b w:val="false"/>
                <w:sz w:val="26"/>
              </w:rPr>
              <w:t>Nghị định 22/2012/NĐ-CP</w:t>
            </w:r>
          </w:p>
        </w:tc>
        <w:tc>
          <w:p/>
          <w:p>
            <w:pPr>
              <w:spacing w:after="0" w:before="0" w:lineRule="auto" w:line="276"/>
              <w:jc w:val="left"/>
            </w:pPr>
            <w:r>
              <w:rPr>
                <w:rFonts w:ascii="Times New Roman" w:hAnsi="Times New Roman" w:cs="Times New Roman" w:eastAsia="Times New Roman"/>
                <w:b w:val="false"/>
                <w:sz w:val="26"/>
              </w:rPr>
              <w:t>26-03-2012</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54/2014/TTLT-BTNMT-BTC</w:t>
            </w:r>
          </w:p>
        </w:tc>
        <w:tc>
          <w:p/>
          <w:p>
            <w:pPr>
              <w:spacing w:after="0" w:before="0" w:lineRule="auto" w:line="276"/>
              <w:jc w:val="left"/>
            </w:pPr>
            <w:r>
              <w:rPr>
                <w:rFonts w:ascii="Times New Roman" w:hAnsi="Times New Roman" w:cs="Times New Roman" w:eastAsia="Times New Roman"/>
                <w:b w:val="false"/>
                <w:sz w:val="26"/>
              </w:rPr>
              <w:t>Thông tư liên tịch 54/2014/TTLT-BTNMT-BTC</w:t>
            </w:r>
          </w:p>
        </w:tc>
        <w:tc>
          <w:p/>
          <w:p>
            <w:pPr>
              <w:spacing w:after="0" w:before="0" w:lineRule="auto" w:line="276"/>
              <w:jc w:val="left"/>
            </w:pPr>
            <w:r>
              <w:rPr>
                <w:rFonts w:ascii="Times New Roman" w:hAnsi="Times New Roman" w:cs="Times New Roman" w:eastAsia="Times New Roman"/>
                <w:b w:val="false"/>
                <w:sz w:val="26"/>
              </w:rPr>
              <w:t>09-09-2014</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158/2016/NĐ-CP</w:t>
            </w:r>
          </w:p>
        </w:tc>
        <w:tc>
          <w:p/>
          <w:p>
            <w:pPr>
              <w:spacing w:after="0" w:before="0" w:lineRule="auto" w:line="276"/>
              <w:jc w:val="left"/>
            </w:pPr>
            <w:r>
              <w:rPr>
                <w:rFonts w:ascii="Times New Roman" w:hAnsi="Times New Roman" w:cs="Times New Roman" w:eastAsia="Times New Roman"/>
                <w:b w:val="false"/>
                <w:sz w:val="26"/>
              </w:rPr>
              <w:t>Nghị định 158/2016/NĐ-CP</w:t>
            </w:r>
          </w:p>
        </w:tc>
        <w:tc>
          <w:p/>
          <w:p>
            <w:pPr>
              <w:spacing w:after="0" w:before="0" w:lineRule="auto" w:line="276"/>
              <w:jc w:val="left"/>
            </w:pPr>
            <w:r>
              <w:rPr>
                <w:rFonts w:ascii="Times New Roman" w:hAnsi="Times New Roman" w:cs="Times New Roman" w:eastAsia="Times New Roman"/>
                <w:b w:val="false"/>
                <w:sz w:val="26"/>
              </w:rPr>
              <w:t>29-11-2016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16/2014/TT-BTNMT</w:t>
            </w:r>
          </w:p>
        </w:tc>
        <w:tc>
          <w:p/>
          <w:p>
            <w:pPr>
              <w:spacing w:after="0" w:before="0" w:lineRule="auto" w:line="276"/>
              <w:jc w:val="left"/>
            </w:pPr>
            <w:r>
              <w:rPr>
                <w:rFonts w:ascii="Times New Roman" w:hAnsi="Times New Roman" w:cs="Times New Roman" w:eastAsia="Times New Roman"/>
                <w:b w:val="false"/>
                <w:sz w:val="26"/>
              </w:rPr>
              <w:t>Thông tư 16/2014/TT-BTNMT</w:t>
            </w:r>
          </w:p>
        </w:tc>
        <w:tc>
          <w:p/>
          <w:p>
            <w:pPr>
              <w:spacing w:after="0" w:before="0" w:lineRule="auto" w:line="276"/>
              <w:jc w:val="left"/>
            </w:pPr>
            <w:r>
              <w:rPr>
                <w:rFonts w:ascii="Times New Roman" w:hAnsi="Times New Roman" w:cs="Times New Roman" w:eastAsia="Times New Roman"/>
                <w:b w:val="false"/>
                <w:sz w:val="26"/>
              </w:rPr>
              <w:t>01-06-2014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22/2023/NĐ-CP</w:t>
            </w:r>
          </w:p>
        </w:tc>
        <w:tc>
          <w:p/>
          <w:p>
            <w:pPr>
              <w:spacing w:after="0" w:before="0" w:lineRule="auto" w:line="276"/>
              <w:jc w:val="left"/>
            </w:pPr>
            <w:r>
              <w:rPr>
                <w:rFonts w:ascii="Times New Roman" w:hAnsi="Times New Roman" w:cs="Times New Roman" w:eastAsia="Times New Roman"/>
                <w:b w:val="false"/>
                <w:sz w:val="26"/>
              </w:rPr>
              <w:t>Nghị định số 22/2023/NĐ-CP ngày 12 tháng 5 năm 2023 của Chính phủ sửa đổi, bổ sung một số điều của các nghị định liên quan đến hoạt động kinh doanh trong lĩnh vực tài nguyên và môi trường</w:t>
            </w:r>
          </w:p>
        </w:tc>
        <w:tc>
          <w:p/>
          <w:p>
            <w:pPr>
              <w:spacing w:after="0" w:before="0" w:lineRule="auto" w:line="276"/>
              <w:jc w:val="left"/>
            </w:pPr>
            <w:r>
              <w:rPr>
                <w:rFonts w:ascii="Times New Roman" w:hAnsi="Times New Roman" w:cs="Times New Roman" w:eastAsia="Times New Roman"/>
                <w:b w:val="false"/>
                <w:sz w:val="26"/>
              </w:rPr>
              <w:t>12-05-2023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Tổ chức, cá nhân được xét chọn tham gia cuộc đấu giá quyền khai thác khoáng sản khi đủ các yêu cầu sau:
+ Có văn bản, tài liệu trong hồ sơ đề nghị tham gia đấu giá quyền khai thác khoáng sản được lập theo quy định;
+ Đáp ứng các quy định của tổ chức, cá nhân thăm dò khoáng sản hoặc khai thác khoáng sản.
+ Có cam kết về thiết bị, công nghệ khai thác, chế biến khoáng sản và phương án tiêu thụ sản phẩm phù hợp với quy định trong hồ sơ mời đấu giá.
- Điều kiện của tổ chức, cá nhân tham gia cuộc đấu giá:
+ Là tổ chức, cá nhân có hồ sơ đề nghị tham gia cuộc đấu giá được Sở Tài nguyên và Môi trường xét chọn;
+ Đã nộp tiền đặt trước theo quy định;
+ Trường hợp khi có sự thay đổi về tư cách pháp nhân, tổ chức cá nhân được tham gia cuộc đấu giá phải nộp bổ sung văn bản liên quan cho Tổ chức đấu giá tài sản hoặc Sở Tài nguyên và Môi trường trước khi tiến hành cuộc đấu giá.
+ Tổ chức, cá nhân tham gia cuộc đấu giá và trúng đấu giá quyền khai thác khoáng sản nhưng từ chối không nhận kết quả trúng đấu giá thì không được tham gia bất kỳ cuộc đấu giá nào trong thời hạn 01 năm, kể từ ngày kết thúc cuộc đấu giá đó.
- Đối tượng không được tham gia đấu giá theo quy định tại Điều 9 Nghị định 22/2012/NĐ-CP, cụ thể là:
+ Chủ tịch, thành viên Hội đồng đấu giá; cán bộ công chức được giao tiếp nhận, chuẩn bị hồ sơ mời đấu giá quyền khai thác khoáng sản của Sở Tài nguyên và Môi trường nơi có khu vực đấu giá quyền khai thác khoáng sản; cha, mẹ, vợ, chồng, con của những người nêu trên.
+ Những đối tượng bị cấm khác theo quy định của pháp luật về bán đấu giá tài sản.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2024-03-29T10:53:33Z</dcterms:created>
  <dc:creator>Apache POI</dc:creator>
</cp:coreProperties>
</file>