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1.004470.000.00.00.H18</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943/QĐ-UBND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Cấp văn bản xác nhận thông báo hoạt động bưu chính (cấp tỉnh)</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Tỉnh</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được luật giao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Bưu chính</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 Doanh nghiệp khai báo đầy đủ, chính xác thông tin trong hồ sơ và nộp các giấy tờ cần thiết.</w:t>
      </w:r>
    </w:p>
    <w:p>
      <w:pPr>
        <w:spacing w:after="0" w:before="0" w:lineRule="auto" w:line="276"/>
        <w:jc w:val="both"/>
      </w:pPr>
      <w:r>
        <w:rPr>
          <w:rFonts w:ascii="Times New Roman" w:hAnsi="Times New Roman" w:cs="Times New Roman" w:eastAsia="Times New Roman"/>
          <w:b w:val="false"/>
          <w:sz w:val="26"/>
        </w:rPr>
        <w:t>- Doanh nghiệp nộp/gửi hồ sơ về Bộ phận tiếp nhận và trả kết quả thuộc Văn phòng Sở Thông tin và Truyền thông tỉnh Điện Biên</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10 Ngày làm việc</w:t>
            </w:r>
          </w:p>
        </w:tc>
        <w:tc>
          <w:p/>
          <w:p>
            <w:pPr>
              <w:spacing w:after="0" w:before="0" w:lineRule="auto" w:line="276"/>
              <w:jc w:val="left"/>
            </w:pPr>
            <w:r>
              <w:rPr>
                <w:rFonts w:ascii="Times New Roman" w:hAnsi="Times New Roman" w:cs="Times New Roman" w:eastAsia="Times New Roman"/>
                <w:b w:val="false"/>
                <w:sz w:val="26"/>
              </w:rPr>
              <w:t>Phí :  Đồng</w:t>
              <w:t xml:space="preserve"> (- Trường hợp tự cung ứng dịch vụ phạm vi nội tỉnh: 1.250.000 đồng - Trường hợp với chi nhánh, văn phòng đại diện của doanh nghiệp cung ứng dịch vụ bưu chính được thành lập theo pháp luật Việt Nam: 1.000.000 đồng - Trường hợp chuyển nhượng toàn bộ doanh nghiệp do mua bán, sáp nhập doanh nghiệp: 1.250.000 đồng)</w:t>
            </w:r>
          </w:p>
        </w:tc>
        <w:tc>
          <w:p/>
          <w:p>
            <w:pPr>
              <w:spacing w:after="0" w:before="0" w:lineRule="auto" w:line="276"/>
              <w:jc w:val="left"/>
            </w:pPr>
            <w:r>
              <w:rPr>
                <w:rFonts w:ascii="Times New Roman" w:hAnsi="Times New Roman" w:cs="Times New Roman" w:eastAsia="Times New Roman"/>
                <w:b w:val="false"/>
                <w:sz w:val="26"/>
              </w:rPr>
              <w:t>10 ngày làm việc kể từ ngày nhận được hồ sơ đáp ứng các quy định của pháp luật</w:t>
            </w:r>
          </w:p>
        </w:tc>
      </w:tr>
      <w:tr>
        <w:tc>
          <w:p/>
          <w:p>
            <w:pPr>
              <w:spacing w:after="0" w:before="0" w:lineRule="auto" w:line="276"/>
              <w:jc w:val="left"/>
            </w:pPr>
            <w:r>
              <w:rPr>
                <w:rFonts w:ascii="Times New Roman" w:hAnsi="Times New Roman" w:cs="Times New Roman" w:eastAsia="Times New Roman"/>
                <w:b w:val="false"/>
                <w:sz w:val="26"/>
              </w:rPr>
              <w:t>Trực tuyến</w:t>
            </w:r>
          </w:p>
        </w:tc>
        <w:tc>
          <w:p/>
          <w:p>
            <w:pPr>
              <w:spacing w:after="0" w:before="0" w:lineRule="auto" w:line="276"/>
              <w:jc w:val="left"/>
            </w:pPr>
            <w:r>
              <w:rPr>
                <w:rFonts w:ascii="Times New Roman" w:hAnsi="Times New Roman" w:cs="Times New Roman" w:eastAsia="Times New Roman"/>
                <w:b w:val="false"/>
                <w:sz w:val="26"/>
              </w:rPr>
              <w:t>10 Ngày làm việc</w:t>
            </w:r>
          </w:p>
        </w:tc>
        <w:tc>
          <w:p/>
          <w:p>
            <w:pPr>
              <w:spacing w:after="0" w:before="0" w:lineRule="auto" w:line="276"/>
              <w:jc w:val="left"/>
            </w:pPr>
            <w:r>
              <w:rPr>
                <w:rFonts w:ascii="Times New Roman" w:hAnsi="Times New Roman" w:cs="Times New Roman" w:eastAsia="Times New Roman"/>
                <w:b w:val="false"/>
                <w:sz w:val="26"/>
              </w:rPr>
              <w:t>Phí :  Đồng</w:t>
              <w:t xml:space="preserve"> (- Trường hợp tự cung ứng dịch vụ phạm vi nội tỉnh: 1.250.000 đồng - Trường hợp với chi nhánh, văn phòng đại diện của doanh nghiệp cung ứng dịch vụ bưu chính được thành lập theo pháp luật Việt Nam: 1.000.000 đồng - Trường hợp chuyển nhượng toàn bộ doanh nghiệp do mua bán, sáp nhập doanh nghiệp: 1.250.000 đồng)</w:t>
            </w:r>
          </w:p>
        </w:tc>
        <w:tc>
          <w:p/>
          <w:p>
            <w:pPr>
              <w:spacing w:after="0" w:before="0" w:lineRule="auto" w:line="276"/>
              <w:jc w:val="left"/>
            </w:pPr>
            <w:r>
              <w:rPr>
                <w:rFonts w:ascii="Times New Roman" w:hAnsi="Times New Roman" w:cs="Times New Roman" w:eastAsia="Times New Roman"/>
                <w:b w:val="false"/>
                <w:sz w:val="26"/>
              </w:rPr>
              <w:t>10 ngày làm việc kể từ ngày nhận được hồ sơ đáp ứng các quy định của pháp luật</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10 Ngày làm việc</w:t>
            </w:r>
          </w:p>
        </w:tc>
        <w:tc>
          <w:p/>
          <w:p>
            <w:pPr>
              <w:spacing w:after="0" w:before="0" w:lineRule="auto" w:line="276"/>
              <w:jc w:val="left"/>
            </w:pPr>
            <w:r>
              <w:rPr>
                <w:rFonts w:ascii="Times New Roman" w:hAnsi="Times New Roman" w:cs="Times New Roman" w:eastAsia="Times New Roman"/>
                <w:b w:val="false"/>
                <w:sz w:val="26"/>
              </w:rPr>
              <w:t>Phí :  Đồng</w:t>
              <w:t xml:space="preserve"> (- Trường hợp tự cung ứng dịch vụ phạm vi nội tỉnh: 1.250.000 đồng - Trường hợp với chi nhánh, văn phòng đại diện của doanh nghiệp cung ứng dịch vụ bưu chính được thành lập theo pháp luật Việt Nam: 1.000.000 đồng - Trường hợp chuyển nhượng toàn bộ doanh nghiệp do mua bán, sáp nhập doanh nghiệp: 1.250.000 đồng)</w:t>
            </w:r>
          </w:p>
        </w:tc>
        <w:tc>
          <w:p/>
          <w:p>
            <w:pPr>
              <w:spacing w:after="0" w:before="0" w:lineRule="auto" w:line="276"/>
              <w:jc w:val="left"/>
            </w:pPr>
            <w:r>
              <w:rPr>
                <w:rFonts w:ascii="Times New Roman" w:hAnsi="Times New Roman" w:cs="Times New Roman" w:eastAsia="Times New Roman"/>
                <w:b w:val="false"/>
                <w:sz w:val="26"/>
              </w:rPr>
              <w:t>10 ngày làm việc kể từ ngày nhận được hồ sơ đáp ứng các quy định của pháp luật</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Hồ sơ đề nghị xác nhận thông báo hoạt động bưu chính đối với trường hợp tự cung ứng dịch vụ: Cung ứng dịch vụ thư không có địa chỉ nhận có khối lượng đơn chiếc đến 02 kg, cung ứng dịch vụ thư có khối lượng đơn chiếc trên 02 kg và cung ứng dịch vụ gói, kiện hàng hóa gồm: + Văn bản thông báo hoạt động bưu chính; + Bản sao giấy chứng nhận đăng ký doanh nghiệp + Mẫu hợp đồng cung ứng và sử dụng dịch vụ bưu chính phù hợp với quy định của pháp luật về bưu chính; + Mẫu biểu trưng, nhãn hiệu, ký hiệu đặc thù hoặc các yếu tố thuộc hệ thống nhận diện của doanh nghiệp được thể hiện trên bưu gửi (nếu có); + Bảng giá cước dịch vụ bưu chính phù hợp với quy định của pháp luật về bưu chính; + Tiêu chuẩn chất lượng dịch vụ bưu chính công bố áp dụng phù hợp với quy định của pháp luật về bưu chính; + Quy định về mức giới hạn trách nhiệm bồi thường thiệt hại trong trường hợp phát sinh thiệt hại, quy trình giải quyết khiếu nại của khách hàng, thời hạn giải quyết khiếu nại phù hợp với quy định của pháp luật về bưu chính; + Hợp đồng nhượng quyền thương mại với doanh nghiệp đang cung ứng dịch vụ bưu chính (nếu có). + Các biện pháp bảo đảm an toàn đối với con người, bưu gửi, mạng bưu chính và an ninh thông tin trong hoạt động bưu chính;</w:t>
            </w:r>
          </w:p>
        </w:tc>
        <w:tc>
          <w:p/>
          <w:p>
            <w:pPr>
              <w:spacing w:after="0" w:before="0" w:lineRule="auto" w:line="276"/>
              <w:jc w:val="left"/>
            </w:pPr>
            <w:r>
              <w:rPr>
                <w:rFonts w:ascii="Times New Roman" w:hAnsi="Times New Roman" w:cs="Times New Roman" w:eastAsia="Times New Roman"/>
                <w:b w:val="false"/>
                <w:sz w:val="26"/>
              </w:rPr>
              <w:t>Van ban thong bao hoat dong buu chính.docx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1</w:t>
            </w:r>
          </w:p>
        </w:tc>
      </w:tr>
      <w:tr>
        <w:tc>
          <w:p/>
          <w:p>
            <w:pPr>
              <w:spacing w:after="0" w:before="0" w:lineRule="auto" w:line="276"/>
              <w:jc w:val="left"/>
            </w:pPr>
            <w:r>
              <w:rPr>
                <w:rFonts w:ascii="Times New Roman" w:hAnsi="Times New Roman" w:cs="Times New Roman" w:eastAsia="Times New Roman"/>
                <w:b w:val="false"/>
                <w:sz w:val="26"/>
              </w:rPr>
              <w:t>Hồ sơ đề nghị xác nhận thông báo hoạt động bưu chính đối với các trường hợp làm chi nhánh, văn phòng đại diện của doanh nghiệp cung ứng dịch vụ bưu chính được thành lập theo pháp luật Việt Nam. + Văn bản thông báo hoạt động bưu chính; + Bản sao giấy phép thành lập do cơ quan nhà nước có thẩm quyền cấp được doanh nghiệp tự đóng dấu xác nhận và chịu trách nhiệm về tính chính xác của bản sao.</w:t>
            </w:r>
          </w:p>
        </w:tc>
        <w:tc>
          <w:p/>
          <w:p>
            <w:pPr>
              <w:spacing w:after="0" w:before="0" w:lineRule="auto" w:line="276"/>
              <w:jc w:val="left"/>
            </w:pPr>
            <w:r>
              <w:rPr>
                <w:rFonts w:ascii="Times New Roman" w:hAnsi="Times New Roman" w:cs="Times New Roman" w:eastAsia="Times New Roman"/>
                <w:b w:val="false"/>
                <w:sz w:val="26"/>
              </w:rPr>
              <w:t>Van ban thong bao hoat dong buu chính.docx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1</w:t>
            </w:r>
          </w:p>
        </w:tc>
      </w:tr>
      <w:tr>
        <w:tc>
          <w:p/>
          <w:p>
            <w:pPr>
              <w:spacing w:after="0" w:before="0" w:lineRule="auto" w:line="276"/>
              <w:jc w:val="left"/>
            </w:pPr>
            <w:r>
              <w:rPr>
                <w:rFonts w:ascii="Times New Roman" w:hAnsi="Times New Roman" w:cs="Times New Roman" w:eastAsia="Times New Roman"/>
                <w:b w:val="false"/>
                <w:sz w:val="26"/>
              </w:rPr>
              <w:t>Số lượng hồ sơ: 01 bộ là bản gốc</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1</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Doanh nghiệp</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Sở Thông tin và Truyền thông - tỉnh Điện Biên</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Sở Thông tin và Truyền thông</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Bộ phận tiếp nhận và trả kết quả thuộc Văn phòng Sở Thông tin và Truyền thông tỉnh Điện Biên</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Văn bản xác nhận thông báo hoạt động bưu chính</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49/2010/QH12</w:t>
            </w:r>
          </w:p>
        </w:tc>
        <w:tc>
          <w:p/>
          <w:p>
            <w:pPr>
              <w:spacing w:after="0" w:before="0" w:lineRule="auto" w:line="276"/>
              <w:jc w:val="left"/>
            </w:pPr>
            <w:r>
              <w:rPr>
                <w:rFonts w:ascii="Times New Roman" w:hAnsi="Times New Roman" w:cs="Times New Roman" w:eastAsia="Times New Roman"/>
                <w:b w:val="false"/>
                <w:sz w:val="26"/>
              </w:rPr>
              <w:t>Luật 49/2010/QH12</w:t>
            </w:r>
          </w:p>
        </w:tc>
        <w:tc>
          <w:p/>
          <w:p>
            <w:pPr>
              <w:spacing w:after="0" w:before="0" w:lineRule="auto" w:line="276"/>
              <w:jc w:val="left"/>
            </w:pPr>
            <w:r>
              <w:rPr>
                <w:rFonts w:ascii="Times New Roman" w:hAnsi="Times New Roman" w:cs="Times New Roman" w:eastAsia="Times New Roman"/>
                <w:b w:val="false"/>
                <w:sz w:val="26"/>
              </w:rPr>
              <w:t>17-06-2010</w:t>
            </w:r>
          </w:p>
        </w:tc>
        <w:tc>
          <w:p/>
          <w:p>
            <w:pPr>
              <w:spacing w:after="0" w:before="0" w:lineRule="auto" w:line="276"/>
              <w:jc w:val="left"/>
            </w:pPr>
            <w:r>
              <w:rPr>
                <w:rFonts w:ascii="Times New Roman" w:hAnsi="Times New Roman" w:cs="Times New Roman" w:eastAsia="Times New Roman"/>
                <w:b w:val="false"/>
                <w:sz w:val="26"/>
              </w:rPr>
              <w:t>Quốc Hội</w:t>
            </w:r>
          </w:p>
        </w:tc>
      </w:tr>
      <w:tr>
        <w:tc>
          <w:p/>
          <w:p>
            <w:pPr>
              <w:spacing w:after="0" w:before="0" w:lineRule="auto" w:line="276"/>
              <w:jc w:val="left"/>
            </w:pPr>
            <w:r>
              <w:rPr>
                <w:rFonts w:ascii="Times New Roman" w:hAnsi="Times New Roman" w:cs="Times New Roman" w:eastAsia="Times New Roman"/>
                <w:b w:val="false"/>
                <w:sz w:val="26"/>
              </w:rPr>
              <w:t>47/2011/NĐ-CP</w:t>
            </w:r>
          </w:p>
        </w:tc>
        <w:tc>
          <w:p/>
          <w:p>
            <w:pPr>
              <w:spacing w:after="0" w:before="0" w:lineRule="auto" w:line="276"/>
              <w:jc w:val="left"/>
            </w:pPr>
            <w:r>
              <w:rPr>
                <w:rFonts w:ascii="Times New Roman" w:hAnsi="Times New Roman" w:cs="Times New Roman" w:eastAsia="Times New Roman"/>
                <w:b w:val="false"/>
                <w:sz w:val="26"/>
              </w:rPr>
              <w:t>Nghị định 47/2011/NĐ-CP</w:t>
            </w:r>
          </w:p>
        </w:tc>
        <w:tc>
          <w:p/>
          <w:p>
            <w:pPr>
              <w:spacing w:after="0" w:before="0" w:lineRule="auto" w:line="276"/>
              <w:jc w:val="left"/>
            </w:pPr>
            <w:r>
              <w:rPr>
                <w:rFonts w:ascii="Times New Roman" w:hAnsi="Times New Roman" w:cs="Times New Roman" w:eastAsia="Times New Roman"/>
                <w:b w:val="false"/>
                <w:sz w:val="26"/>
              </w:rPr>
              <w:t>17-06-2011</w:t>
            </w:r>
          </w:p>
        </w:tc>
        <w:tc>
          <w:p/>
          <w:p>
            <w:pPr>
              <w:spacing w:after="0" w:before="0" w:lineRule="auto" w:line="276"/>
              <w:jc w:val="left"/>
            </w:pPr>
            <w:r>
              <w:rPr>
                <w:rFonts w:ascii="Times New Roman" w:hAnsi="Times New Roman" w:cs="Times New Roman" w:eastAsia="Times New Roman"/>
                <w:b w:val="false"/>
                <w:sz w:val="26"/>
              </w:rPr>
              <w:t>Chính phủ</w:t>
            </w:r>
          </w:p>
        </w:tc>
      </w:tr>
      <w:tr>
        <w:tc>
          <w:p/>
          <w:p>
            <w:pPr>
              <w:spacing w:after="0" w:before="0" w:lineRule="auto" w:line="276"/>
              <w:jc w:val="left"/>
            </w:pPr>
            <w:r>
              <w:rPr>
                <w:rFonts w:ascii="Times New Roman" w:hAnsi="Times New Roman" w:cs="Times New Roman" w:eastAsia="Times New Roman"/>
                <w:b w:val="false"/>
                <w:sz w:val="26"/>
              </w:rPr>
              <w:t>291/2016/TT-BTC</w:t>
            </w:r>
          </w:p>
        </w:tc>
        <w:tc>
          <w:p/>
          <w:p>
            <w:pPr>
              <w:spacing w:after="0" w:before="0" w:lineRule="auto" w:line="276"/>
              <w:jc w:val="left"/>
            </w:pPr>
            <w:r>
              <w:rPr>
                <w:rFonts w:ascii="Times New Roman" w:hAnsi="Times New Roman" w:cs="Times New Roman" w:eastAsia="Times New Roman"/>
                <w:b w:val="false"/>
                <w:sz w:val="26"/>
              </w:rPr>
              <w:t>Thông tư 291/2016/TT-BTC</w:t>
            </w:r>
          </w:p>
        </w:tc>
        <w:tc>
          <w:p/>
          <w:p>
            <w:pPr>
              <w:spacing w:after="0" w:before="0" w:lineRule="auto" w:line="276"/>
              <w:jc w:val="left"/>
            </w:pPr>
            <w:r>
              <w:rPr>
                <w:rFonts w:ascii="Times New Roman" w:hAnsi="Times New Roman" w:cs="Times New Roman" w:eastAsia="Times New Roman"/>
                <w:b w:val="false"/>
                <w:sz w:val="26"/>
              </w:rPr>
              <w:t>15-11-2016</w:t>
            </w:r>
          </w:p>
        </w:tc>
        <w:tc>
          <w:p/>
          <w:p>
            <w:pPr>
              <w:spacing w:after="0" w:before="0" w:lineRule="auto" w:line="276"/>
              <w:jc w:val="left"/>
            </w:pPr>
            <w:r>
              <w:rPr>
                <w:rFonts w:ascii="Times New Roman" w:hAnsi="Times New Roman" w:cs="Times New Roman" w:eastAsia="Times New Roman"/>
                <w:b w:val="false"/>
                <w:sz w:val="26"/>
              </w:rPr>
              <w:t>Bộ Tài chính</w:t>
            </w:r>
          </w:p>
        </w:tc>
      </w:tr>
      <w:tr>
        <w:tc>
          <w:p/>
          <w:p>
            <w:pPr>
              <w:spacing w:after="0" w:before="0" w:lineRule="auto" w:line="276"/>
              <w:jc w:val="left"/>
            </w:pPr>
            <w:r>
              <w:rPr>
                <w:rFonts w:ascii="Times New Roman" w:hAnsi="Times New Roman" w:cs="Times New Roman" w:eastAsia="Times New Roman"/>
                <w:b w:val="false"/>
                <w:sz w:val="26"/>
              </w:rPr>
              <w:t>25/2020/TT-BTC</w:t>
            </w:r>
          </w:p>
        </w:tc>
        <w:tc>
          <w:p/>
          <w:p>
            <w:pPr>
              <w:spacing w:after="0" w:before="0" w:lineRule="auto" w:line="276"/>
              <w:jc w:val="left"/>
            </w:pPr>
            <w:r>
              <w:rPr>
                <w:rFonts w:ascii="Times New Roman" w:hAnsi="Times New Roman" w:cs="Times New Roman" w:eastAsia="Times New Roman"/>
                <w:b w:val="false"/>
                <w:sz w:val="26"/>
              </w:rPr>
              <w:t>Thông tư 25/2020/TT-BTC</w:t>
            </w:r>
          </w:p>
        </w:tc>
        <w:tc>
          <w:p/>
          <w:p>
            <w:pPr>
              <w:spacing w:after="0" w:before="0" w:lineRule="auto" w:line="276"/>
              <w:jc w:val="left"/>
            </w:pPr>
            <w:r>
              <w:rPr>
                <w:rFonts w:ascii="Times New Roman" w:hAnsi="Times New Roman" w:cs="Times New Roman" w:eastAsia="Times New Roman"/>
                <w:b w:val="false"/>
                <w:sz w:val="26"/>
              </w:rPr>
              <w:t>14-04-2020</w:t>
            </w:r>
          </w:p>
        </w:tc>
        <w:tc>
          <w:p/>
        </w:tc>
      </w:tr>
      <w:tr>
        <w:tc>
          <w:p/>
          <w:p>
            <w:pPr>
              <w:spacing w:after="0" w:before="0" w:lineRule="auto" w:line="276"/>
              <w:jc w:val="left"/>
            </w:pPr>
            <w:r>
              <w:rPr>
                <w:rFonts w:ascii="Times New Roman" w:hAnsi="Times New Roman" w:cs="Times New Roman" w:eastAsia="Times New Roman"/>
                <w:b w:val="false"/>
                <w:sz w:val="26"/>
              </w:rPr>
              <w:t>25/2022/NĐ-CP</w:t>
            </w:r>
          </w:p>
        </w:tc>
        <w:tc>
          <w:p/>
          <w:p>
            <w:pPr>
              <w:spacing w:after="0" w:before="0" w:lineRule="auto" w:line="276"/>
              <w:jc w:val="left"/>
            </w:pPr>
            <w:r>
              <w:rPr>
                <w:rFonts w:ascii="Times New Roman" w:hAnsi="Times New Roman" w:cs="Times New Roman" w:eastAsia="Times New Roman"/>
                <w:b w:val="false"/>
                <w:sz w:val="26"/>
              </w:rPr>
              <w:t>Nghị định 25/2022/NĐ-CP</w:t>
            </w:r>
          </w:p>
        </w:tc>
        <w:tc>
          <w:p/>
          <w:p>
            <w:pPr>
              <w:spacing w:after="0" w:before="0" w:lineRule="auto" w:line="276"/>
              <w:jc w:val="left"/>
            </w:pPr>
            <w:r>
              <w:rPr>
                <w:rFonts w:ascii="Times New Roman" w:hAnsi="Times New Roman" w:cs="Times New Roman" w:eastAsia="Times New Roman"/>
                <w:b w:val="false"/>
                <w:sz w:val="26"/>
              </w:rPr>
              <w:t>12-04-2022</w:t>
            </w:r>
          </w:p>
        </w:tc>
        <w:tc>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Việc thông báo hoạt động bưu chính được thực hiện chậm nhất là 07 ngày làm việc, kể từ ngày đầu tiên hoạt động bưu chính.</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Thông tư số 25/2020/TT-BTC ngày 14/4/2020 của Bộ Tài chính sửa đổi, bổ sung một số điều của Thông tư số 291/2016/TT-BTC ngày 15/11/2016 quy định mức thu, chế độ thu, nộp, quản lý và sử dụng phí thẩm định điều kiện hoạt động bưu chính.</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2024-03-29T07:50:47Z</dcterms:created>
  <dc:creator>Apache POI</dc:creator>
</cp:coreProperties>
</file>