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1.004585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7867/QĐ_BYT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chứng nhận đủ điều kiện kinh doanh dược cho cơ sở thay đổi loại hình kinh doanh hoặc phạm vi kinh doanh dược mà có thay đổi điều kiện kinh doanh; thay đổi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đề nghị cấp Giấy chứng nhận đủ điều kiện kinh doanh dược gửi hồ sơ về Sở Y tế tỉnh, thành phố trực thuộc trung ương nơi cơ sở đó đặt trụ sở.</w:t>
      </w:r>
    </w:p>
    <w:p>
      <w:pPr>
        <w:spacing w:after="0" w:before="0" w:lineRule="auto" w:line="276"/>
        <w:jc w:val="both"/>
      </w:pPr>
      <w:r>
        <w:rPr>
          <w:rFonts w:ascii="Times New Roman" w:hAnsi="Times New Roman" w:cs="Times New Roman" w:eastAsia="Times New Roman"/>
          <w:b w:val="false"/>
          <w:sz w:val="26"/>
        </w:rPr>
        <w:t>Bước 2:Sau khi nhận hồ sơ, Sở Y tế trả cho người đề nghị cấp Giấy chứng nhận đủ điều kiện kinh doanh dược Phiếu tiếp nhận hồ sơ theo Mẫu số 01 Phục lục I của Nghị định số 54/2017/NĐ-CP.</w:t>
      </w:r>
    </w:p>
    <w:p>
      <w:pPr>
        <w:spacing w:after="0" w:before="0" w:lineRule="auto" w:line="276"/>
        <w:jc w:val="both"/>
      </w:pPr>
      <w:r>
        <w:rPr>
          <w:rFonts w:ascii="Times New Roman" w:hAnsi="Times New Roman" w:cs="Times New Roman" w:eastAsia="Times New Roman"/>
          <w:b w:val="false"/>
          <w:sz w:val="26"/>
        </w:rPr>
        <w:t>a) Trường hợp không có yêu cầu sửa đổi, bổ sung hồ sơ, Sở Y tế:</w:t>
      </w:r>
    </w:p>
    <w:p>
      <w:pPr>
        <w:spacing w:after="0" w:before="0" w:lineRule="auto" w:line="276"/>
        <w:jc w:val="both"/>
      </w:pPr>
      <w:r>
        <w:rPr>
          <w:rFonts w:ascii="Times New Roman" w:hAnsi="Times New Roman" w:cs="Times New Roman" w:eastAsia="Times New Roman"/>
          <w:b w:val="false"/>
          <w:sz w:val="26"/>
        </w:rPr>
        <w:t>- Cấp Giấy chứng nhận đủ điều kiện kinh doanh dược trong thời hạn 20 ngày kể từ ngày ghi trên Phiếu tiếp nhận hồ sơ đối với trường hợp cơ sở vật chất, kỹ thuật và nhân sự đã được kiểm tra, đánh giá đáp ứng Thực hành tốt phù hợp với phạm vi kinh doanh, không phải tổ chức đánh giá thực tế tại cơ sở đề nghị cấp Giấy chứng nhận đủ điều kiện kinh doanh dược.</w:t>
      </w:r>
    </w:p>
    <w:p>
      <w:pPr>
        <w:spacing w:after="0" w:before="0" w:lineRule="auto" w:line="276"/>
        <w:jc w:val="both"/>
      </w:pPr>
      <w:r>
        <w:rPr>
          <w:rFonts w:ascii="Times New Roman" w:hAnsi="Times New Roman" w:cs="Times New Roman" w:eastAsia="Times New Roman"/>
          <w:b w:val="false"/>
          <w:sz w:val="26"/>
        </w:rPr>
        <w:t>- Tổ chức đánh giá thực tế tại cơ sở đề nghị cấp Giấy chứng nhận đủ điều kiện kinh doanh dược trong thời hạn 20 ngày, kể từ ngày ghi trên Phiếu tiếp nhận hồ sơ.</w:t>
      </w:r>
    </w:p>
    <w:p>
      <w:pPr>
        <w:spacing w:after="0" w:before="0" w:lineRule="auto" w:line="276"/>
        <w:jc w:val="both"/>
      </w:pPr>
      <w:r>
        <w:rPr>
          <w:rFonts w:ascii="Times New Roman" w:hAnsi="Times New Roman" w:cs="Times New Roman" w:eastAsia="Times New Roman"/>
          <w:b w:val="false"/>
          <w:sz w:val="26"/>
        </w:rPr>
        <w:t>b) Trường hợp có yêu cầu sửa đổi, bổ sung hồ sơ, trong thời hạn 10 ngày làm việc, kể từ ngày ghi trên Phiếu tiếp nhận hồ sơ, Sở Y tế có văn bản gửi cơ sở đề nghị, trong đó phải nêu cụ thể các tài liệu, nội dung cần sửa đổi, bổ sung.</w:t>
      </w:r>
    </w:p>
    <w:p>
      <w:pPr>
        <w:spacing w:after="0" w:before="0" w:lineRule="auto" w:line="276"/>
        <w:jc w:val="both"/>
      </w:pPr>
      <w:r>
        <w:rPr>
          <w:rFonts w:ascii="Times New Roman" w:hAnsi="Times New Roman" w:cs="Times New Roman" w:eastAsia="Times New Roman"/>
          <w:b w:val="false"/>
          <w:sz w:val="26"/>
        </w:rPr>
        <w:t>Bước 3: Sau khi nhận hồ sơ sửa đổi, bổ sung, Sở Y tế trả cho cơ sở đề nghị Phiếu tiếp nhận hồ sơ sửa đổi, bổ sung theo Mẫu số 01 tại Phụ lục I ban hành kèm theo Nghị định 54/2017/NĐ-CP.</w:t>
      </w:r>
    </w:p>
    <w:p>
      <w:pPr>
        <w:spacing w:after="0" w:before="0" w:lineRule="auto" w:line="276"/>
        <w:jc w:val="both"/>
      </w:pPr>
      <w:r>
        <w:rPr>
          <w:rFonts w:ascii="Times New Roman" w:hAnsi="Times New Roman" w:cs="Times New Roman" w:eastAsia="Times New Roman"/>
          <w:b w:val="false"/>
          <w:sz w:val="26"/>
        </w:rPr>
        <w:t>a) Trường hợp hồ sơ sửa đổi, bổ sung không đáp ứng yêu cầu, Sở Y tế có văn bản thông báo cho cơ sở theo quy định tại điểm b Bước 2;</w:t>
      </w:r>
    </w:p>
    <w:p>
      <w:pPr>
        <w:spacing w:after="0" w:before="0" w:lineRule="auto" w:line="276"/>
        <w:jc w:val="both"/>
      </w:pPr>
      <w:r>
        <w:rPr>
          <w:rFonts w:ascii="Times New Roman" w:hAnsi="Times New Roman" w:cs="Times New Roman" w:eastAsia="Times New Roman"/>
          <w:b w:val="false"/>
          <w:sz w:val="26"/>
        </w:rPr>
        <w:t>b) Trường hợp không có yêu cầu sửa đổi, bổ sung đối với hồ sơ sửa đổi, bổ sung, Sở Y tế thực hiện theo quy định tại điểm a Bước 2.</w:t>
      </w:r>
    </w:p>
    <w:p>
      <w:pPr>
        <w:spacing w:after="0" w:before="0" w:lineRule="auto" w:line="276"/>
        <w:jc w:val="both"/>
      </w:pPr>
      <w:r>
        <w:rPr>
          <w:rFonts w:ascii="Times New Roman" w:hAnsi="Times New Roman" w:cs="Times New Roman" w:eastAsia="Times New Roman"/>
          <w:b w:val="false"/>
          <w:sz w:val="26"/>
        </w:rPr>
        <w:t>Bước 4: Sau khi đánh giá thực tế cơ sở, Sở Y tế có trách nhiệm:</w:t>
      </w:r>
    </w:p>
    <w:p>
      <w:pPr>
        <w:spacing w:after="0" w:before="0" w:lineRule="auto" w:line="276"/>
        <w:jc w:val="both"/>
      </w:pPr>
      <w:r>
        <w:rPr>
          <w:rFonts w:ascii="Times New Roman" w:hAnsi="Times New Roman" w:cs="Times New Roman" w:eastAsia="Times New Roman"/>
          <w:b w:val="false"/>
          <w:sz w:val="26"/>
        </w:rPr>
        <w:t>- Cấp Giấy chứng nhận đủ điều kiện kinh doanh dược trong thời hạn 10  ngày làm việc, kể từ ngày hoàn thành việc đánh giá thực tế đối với trường hợp không có yêu cầu, khắc phục, sửa chữa;</w:t>
      </w:r>
    </w:p>
    <w:p>
      <w:pPr>
        <w:spacing w:after="0" w:before="0" w:lineRule="auto" w:line="276"/>
        <w:jc w:val="both"/>
      </w:pPr>
      <w:r>
        <w:rPr>
          <w:rFonts w:ascii="Times New Roman" w:hAnsi="Times New Roman" w:cs="Times New Roman" w:eastAsia="Times New Roman"/>
          <w:b w:val="false"/>
          <w:sz w:val="26"/>
        </w:rPr>
        <w:t>- Ban hành văn bản thông báo về các nội dung cần khắc phục, sửa chữa trong thời hạn 05ngày làm việc, kể từ ngày hoàn thành việc đánh giá thực tế đối với trường hợp có yêu cầu, khắc phục, sửa chữa.</w:t>
      </w:r>
    </w:p>
    <w:p>
      <w:pPr>
        <w:spacing w:after="0" w:before="0" w:lineRule="auto" w:line="276"/>
        <w:jc w:val="both"/>
      </w:pPr>
      <w:r>
        <w:rPr>
          <w:rFonts w:ascii="Times New Roman" w:hAnsi="Times New Roman" w:cs="Times New Roman" w:eastAsia="Times New Roman"/>
          <w:b w:val="false"/>
          <w:sz w:val="26"/>
        </w:rPr>
        <w:t>Bước 5: Trong thời hạn 20 ngày, kể từ ngày nhận được văn bản thông báo và tài liệu chứng minh đã hoàn thành việc khắc phục, sửa chữa của cơ sở đề nghị, Sở Y tế cấp Giấy chứng nhận đủ điều kiện kinh doanh dược hoặc trả lời lý do chưa cấp.</w:t>
      </w:r>
    </w:p>
    <w:p>
      <w:pPr>
        <w:spacing w:after="0" w:before="0" w:lineRule="auto" w:line="276"/>
        <w:jc w:val="both"/>
      </w:pPr>
      <w:r>
        <w:rPr>
          <w:rFonts w:ascii="Times New Roman" w:hAnsi="Times New Roman" w:cs="Times New Roman" w:eastAsia="Times New Roman"/>
          <w:b w:val="false"/>
          <w:sz w:val="26"/>
        </w:rPr>
        <w:t>Trong thời hạn 06 tháng, kể từ ngày Sở Y tế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pPr>
        <w:spacing w:after="0" w:before="0" w:lineRule="auto" w:line="276"/>
        <w:jc w:val="both"/>
      </w:pPr>
      <w:r>
        <w:rPr>
          <w:rFonts w:ascii="Times New Roman" w:hAnsi="Times New Roman" w:cs="Times New Roman" w:eastAsia="Times New Roman"/>
          <w:b w:val="false"/>
          <w:sz w:val="26"/>
        </w:rPr>
        <w:t xml:space="preserve">Bước 6: Trong thời hạn 05ngày làm việc, kể từ ngày cấp Giấy chứng nhận đủ điều kiện kinh doanh dược, Sở Y tế công bố, cập nhật trên Cổng thông tin điện tử của đơn vị các thông tin sau:
a) Tên, địa chỉ cơ sở được cấp Giấy chứng nhận đủ điều kiện kinh doanh dược;
b) Họ tên người chịu trách nhiệm chuyên môn về dược, số Chứng chỉ hành nghề dược;
c) Số Giấy chứng nhận đủ điều kiện kinh doanh dược.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500.000 Đồng</w:t>
              <w:t xml:space="preserve"> (Thẩm định điều kiện, tiêu chuẩn bán lẻ thuốc (GPP) đối với cơ sở bán lẻ tại các địa bàn thuộc vùng khó khăn, miền núi, hải đảo)</w:t>
            </w:r>
          </w:p>
          <w:p>
            <w:pPr>
              <w:spacing w:after="0" w:before="0" w:lineRule="auto" w:line="276"/>
              <w:jc w:val="left"/>
            </w:pPr>
            <w:r>
              <w:rPr>
                <w:rFonts w:ascii="Times New Roman" w:hAnsi="Times New Roman" w:cs="Times New Roman" w:eastAsia="Times New Roman"/>
                <w:b w:val="false"/>
                <w:sz w:val="26"/>
              </w:rPr>
              <w:t>Phí : 1.000.000 Đồng</w:t>
              <w:t xml:space="preserve"> (Thẩm định điều kiện, tiêu chuẩn bán lẻ thuốc (GPP) hoặc tiêu chuẩn và điều kiện hành nghề dược đối với các cơ sở bán lẻ thuốc chưa bắt buộc thực hiện nguyên tắc, tiêu chuẩn thực hành tốt nhà thuốc theo lộ trình)</w:t>
            </w:r>
          </w:p>
          <w:p>
            <w:pPr>
              <w:spacing w:after="0" w:before="0" w:lineRule="auto" w:line="276"/>
              <w:jc w:val="left"/>
            </w:pPr>
            <w:r>
              <w:rPr>
                <w:rFonts w:ascii="Times New Roman" w:hAnsi="Times New Roman" w:cs="Times New Roman" w:eastAsia="Times New Roman"/>
                <w:b w:val="false"/>
                <w:sz w:val="26"/>
              </w:rPr>
              <w:t>Phí : 4.000.000 Đồng</w:t>
              <w:t xml:space="preserve"> (Thẩm định điều kiện kinh doanh thuốc đối với cơ sở bán buôn (GDP))</w:t>
            </w:r>
          </w:p>
        </w:tc>
        <w:tc>
          <w:p/>
          <w:p>
            <w:pPr>
              <w:spacing w:after="0" w:before="0" w:lineRule="auto" w:line="276"/>
              <w:jc w:val="left"/>
            </w:pPr>
            <w:r>
              <w:rPr>
                <w:rFonts w:ascii="Times New Roman" w:hAnsi="Times New Roman" w:cs="Times New Roman" w:eastAsia="Times New Roman"/>
                <w:b w:val="false"/>
                <w:sz w:val="26"/>
              </w:rPr>
              <w:t>20 ngày kể từ ngày nhận đủ hồ sơ đối với trường hợp không phải đi đánh giá cơ sở;
</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30 ngày kể từ ngày nhận đủ hồ sơ đối với trường hợp phải đi đánh giá cơ sở.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500.000 Đồng</w:t>
              <w:t xml:space="preserve"> (Thẩm định điều kiện, tiêu chuẩn bán lẻ thuốc (GPP) đối với cơ sở bán lẻ tại các địa bàn thuộc vùng khó khăn, miền núi, hải đảo)</w:t>
            </w:r>
          </w:p>
          <w:p>
            <w:pPr>
              <w:spacing w:after="0" w:before="0" w:lineRule="auto" w:line="276"/>
              <w:jc w:val="left"/>
            </w:pPr>
            <w:r>
              <w:rPr>
                <w:rFonts w:ascii="Times New Roman" w:hAnsi="Times New Roman" w:cs="Times New Roman" w:eastAsia="Times New Roman"/>
                <w:b w:val="false"/>
                <w:sz w:val="26"/>
              </w:rPr>
              <w:t>Phí : 1.000.000 Đồng</w:t>
              <w:t xml:space="preserve"> (Thẩm định điều kiện, tiêu chuẩn bán lẻ thuốc (GPP) hoặc tiêu chuẩn và điều kiện hành nghề dược đối với các cơ sở bán lẻ thuốc chưa bắt buộc thực hiện nguyên tắc, tiêu chuẩn thực hành tốt nhà thuốc theo lộ trình)</w:t>
            </w:r>
          </w:p>
          <w:p>
            <w:pPr>
              <w:spacing w:after="0" w:before="0" w:lineRule="auto" w:line="276"/>
              <w:jc w:val="left"/>
            </w:pPr>
            <w:r>
              <w:rPr>
                <w:rFonts w:ascii="Times New Roman" w:hAnsi="Times New Roman" w:cs="Times New Roman" w:eastAsia="Times New Roman"/>
                <w:b w:val="false"/>
                <w:sz w:val="26"/>
              </w:rPr>
              <w:t>Phí : 4.000.000 Đồng</w:t>
              <w:t xml:space="preserve"> (Thẩm định điều kiện kinh doanh thuốc đối với cơ sở bán buôn (GDP))</w:t>
            </w:r>
          </w:p>
        </w:tc>
        <w:tc>
          <w:p/>
          <w:p>
            <w:pPr>
              <w:spacing w:after="0" w:before="0" w:lineRule="auto" w:line="276"/>
              <w:jc w:val="left"/>
            </w:pPr>
            <w:r>
              <w:rPr>
                <w:rFonts w:ascii="Times New Roman" w:hAnsi="Times New Roman" w:cs="Times New Roman" w:eastAsia="Times New Roman"/>
                <w:b w:val="false"/>
                <w:sz w:val="26"/>
              </w:rPr>
              <w:t>20 ngày kể từ ngày nhận đủ hồ sơ đối với trường hợp không phải đi đánh giá cơ sở;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30 ngày kể từ ngày nhận đủ hồ sơ đối với trường hợp phải đi đánh giá cơ sở.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Giấy chứng nhận đủ điều kiện kinh doanh dược theo Mẫu số 19 Phụ lục I tại Phụ lục II của Nghị định số 155/2018/NĐ-CP;</w:t>
            </w:r>
          </w:p>
        </w:tc>
        <w:tc>
          <w:p/>
          <w:p>
            <w:pPr>
              <w:spacing w:after="0" w:before="0" w:lineRule="auto" w:line="276"/>
              <w:jc w:val="left"/>
            </w:pPr>
            <w:r>
              <w:rPr>
                <w:rFonts w:ascii="Times New Roman" w:hAnsi="Times New Roman" w:cs="Times New Roman" w:eastAsia="Times New Roman"/>
                <w:b w:val="false"/>
                <w:sz w:val="26"/>
              </w:rPr>
              <w:t>ND54_Mau 19_Phu luc I PLII.docx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Tài liệu bao gồm Giấy chứng nhận đủ điều kiện kinh doanh dược hoặc Giấy chứng nhận Thực hành tốt tại địa điểm kinh doanh (nếu có) và các tài liệu kỹ thuật tương ứng với điều kiện kinh doanh thay đổisau: a) Đối với cơ sở bán buôn thuốc, nguyên liệu làm thuốc: Tài liệu về địa điểm, kho bảo quản thuốc, nguyên liệu làm thuốc, trang thiết bị bảo quản, phương tiện vận chuyển, hệ thống quản lý chất lượng, tài liệu chuyên môn kỹ thuật và nhân sự theo nguyên tắc Thực hành tốt phân phối thuốc, nguyên liệu làm thuốc; b) Đối với cơ sở bán lẻ thuốc: Tài liệu về địa điểm, khu vực bảo quản, trang thiết bị bảo quản, tài liệu chuyên môn kỹ thuật và nhân sự theo nguyên tắc Thực hành tốt cơ sở bán lẻ thuốc. Đối với cơ sở chuyên bán lẻ dược liệu, thuốc dược liệu, thuốc cổ truyền: Tài liệu chứng minh việc đáp ứng quy định tại khoản 5 Điều 31 của Nghị định 54/2017/NĐ-CP theo quy định của Bộ trưởng Bộ Y tế;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Giấy chứng nhận đăng ký doanh nghiệp hoặc tài liệu pháp lý chứng minh việc thành lập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có chứng thực Chứng chỉ hành nghề dược.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Sở Y tế</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đủ điều kiện kinh doanh dược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 Sửa đổi, bổ sung một số quy định liên quan đến điều kiện đầu tư kinh doanh thuộc phạm vi quản lý nhà nước của Bộ Y tế</w:t>
            </w:r>
          </w:p>
        </w:tc>
        <w:tc>
          <w:p/>
          <w:p>
            <w:pPr>
              <w:spacing w:after="0" w:before="0" w:lineRule="auto" w:line="276"/>
              <w:jc w:val="left"/>
            </w:pPr>
            <w:r>
              <w:rPr>
                <w:rFonts w:ascii="Times New Roman" w:hAnsi="Times New Roman" w:cs="Times New Roman" w:eastAsia="Times New Roman"/>
                <w:b w:val="false"/>
                <w:sz w:val="26"/>
              </w:rPr>
              <w:t>12-11-2018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277/2016/TT-BTC</w:t>
            </w:r>
          </w:p>
        </w:tc>
        <w:tc>
          <w:p/>
          <w:p>
            <w:pPr>
              <w:spacing w:after="0" w:before="0" w:lineRule="auto" w:line="276"/>
              <w:jc w:val="left"/>
            </w:pPr>
            <w:r>
              <w:rPr>
                <w:rFonts w:ascii="Times New Roman" w:hAnsi="Times New Roman" w:cs="Times New Roman" w:eastAsia="Times New Roman"/>
                <w:b w:val="false"/>
                <w:sz w:val="26"/>
              </w:rPr>
              <w:t>Thông tư 277/2016/TT-BTC Quy định mức thu, chế độ thu, nộp, quản lý và sử dụng phí trong lĩnh vực dược, mỹ phẩm</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 Quy định chi tiết một số điều và biện pháp thi hành Luật dược</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33 Luật dược (Điều kiện cấp Giấy chứng nhận đủ điều kiện kinh doanh dược)
1. Điều kiện về cơ sở vật chất, kỹ thuật và nhân sự được quy định như sau:
c) Cơ sở bán buôn thuốc, nguyên liệu làm thuốc phải có địa Điểm, kho bảo quản thuốc, trang thiết bị bảo quản, phương tiện vận chuyển, hệ thống quản lý chất lượng, tài liệu chuyên môn kỹ thuật và nhân sự đáp ứng Thực hành tốt phân phối thuốc, nguyên liệu làm thuốc;
d) Cơ sở bán lẻ thuốc phải có địa Điểm, khu vực bảo quản, trang thiết bị bảo quản, tài liệu chuyên môn kỹ thuật và nhân sự đáp ứng Thực hành tốt cơ sở bán lẻ thuốc; đối với cơ sở chuyên bán lẻ dược liệu, thuốc dược liệu, thuốc cổ truyền thực hiện theo quy định tại Điểm b Khoản 2 Điều 69 của Luật này;
2. Người chịu trách nhiệm chuyên môn về dược và vị trí công việc quy định tại Điều 11 của Luật này phải có Chứng chỉ hành nghề dược phù hợp với cơ sở kinh doanh dược quy định tại Khoản 2 Điều 32 của Luật này.
Điều 31 Nghị định (Điều kiện kinh doanh thuốc cổ truyền)
4. Cơ sở bán buôn thuốc cổ truyền phải có địa điểm, kho bảo quản thuốc, trang thiết bị bảo quản, phương tiện vận chuyển, hệ thống quản lý chất lượng, tài liệu chuyên môn kỹ thuật và nhân sự đáp ứng Thực hành tốt phân phối thuốc đối với thuốc cổ truyền. Người chịu trách nhiệm chuyên môn về dược của cơ sở bán buôn thuốc cổ truyền theo quy định tại khoản 3 Điều 16 của Luật dược.
5. Điều kiện của cơ sở chuyên bán lẻ dược liệu, thuốc dược liệu, thuốc cổ truyền:
a) Người chịu trách nhiệm chuyên môn về dược của cơ sở bán lẻ dược liệu, thuốc dược liệu, thuốc cổ truyền theo quy định tại khoản 4 Điều 18 của Luật dược;
b) Có địa điểm cố định, riêng biệt; được xây dựng chắc chắn; diện tích phù hợp với quy mô kinh doanh; bố trí ở nơi cao ráo, thoáng mát, an toàn, cách xa nguồn ô nhiễm, bảo đảm phòng chống cháy nổ;
c) Phải có khu vực bảo quản và trang thiết bị bảo quản phù hợp với yêu cầu bảo quản ghi trên nhãn.
Thuốc dược liệu, thuốc cổ truyền phải được bảo quản riêng biệt với dược liệu, vị thuốc cổ truyền.
Dược liệu độc phải được bày bán (nếu có) và bảo quản tại khu vực riêng; trường hợp được bày bán và bảo quản trong cùng một khu vực với các dược liệu khác thì phải để riêng và ghi rõ “dược liệu độc” để tránh nhầm lẫn.
Thuốc dược liệu, thuốc cổ truyền kê đơn phải được bày bán (nếu có) và bảo quản tại khu vực riêng; trường hợp được bày bán và bảo quản trong cùng một khu vực với các thuốc không kê đơn thì phải để riêng và ghi rõ “Thuốc kê đơn” để tránh nhầm lẫn.
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
d) Dụng cụ, bao bì tiếp xúc trực tiếp với thuốc dược liệu, thuốc cổ truyền, dược liệu phải bảo đảm không ảnh hưởng đến chất lượng của thuốc dược liệu, thuốc cổ truyền, dược liệu;
đ) Có sổ sách ghi chép hoặc biện pháp phù hợp để lưu giữ thông tin về hoạt động xuất nhập, truy xuất nguồn gốc;
e) Người bán lẻ dược liệu, thuốc dược liệu, thuốc cổ truyền phải có một trong các văn bằng quy định tại các điểm a, c, e, g, i hoặc l khoản 1 Điều 13 của Luật dược.
Đối với dược liệu độc, thuốc dược liệu kê đơn, thuốc cổ truyền kê đơn thì người trực tiếp bán lẻ và tư vấn cho người mua phải là người chịu trách nhiệm chuyên môn của cơ sở bán lẻ;
g) Trường hợp cơ sở bán lẻ có kinh doanh thêm các mặt hàng khác theo quy định của pháp luật thì các mặt hàng này phải được bày bán, bảo quản ở khu vực riêng và không gây ảnh hưởng đến dược liệu, thuốc dược liệu, thuốc cổ truyền.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2024-03-29T13:19:45Z</dcterms:created>
  <dc:creator>Apache POI</dc:creator>
</cp:coreProperties>
</file>