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1.004831.000.00.00.H18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trường đối với học sinh trung học cơ sở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trung học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Đối với học sinh chuyển trường trong cùng tỉnh, thành phố: Hiệu trưởng nhà trường nơi đến tiếp nhận hồ sơ và xem xét, giải quyết theo quy định của Giám đốc sở giáo dục và đào tạo.</w:t>
      </w:r>
    </w:p>
    <w:p>
      <w:pPr>
        <w:spacing w:after="0" w:before="0" w:lineRule="auto" w:line="276"/>
        <w:jc w:val="both"/>
      </w:pPr>
      <w:r>
        <w:rPr>
          <w:rFonts w:ascii="Times New Roman" w:hAnsi="Times New Roman" w:cs="Times New Roman" w:eastAsia="Times New Roman"/>
          <w:b w:val="false"/>
          <w:sz w:val="26"/>
        </w:rPr>
        <w:t>Đối với học sinh chuyển trường đến từ tỉnh, thành phố khác: Phòng giáo dục và đào tạo nơi đến tiếp nhận và giới thiệu về trường theo nơi cư trú, kèm theo hồ sơ đã được kiểm tra.
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Chưa quy định cụ thể.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Chưa quy định cụ thể.</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Chưa quy định cụ thể.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Chưa quy định cụ thể.</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xin chuyển trường do cha hoặc mẹ hoặc người giám hộ ký.</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Học bạ</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Bằng tốt nghiệp cấp học dưới (bản công chứng).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chứng nhận trúng tuyển vào lớp đầu cấp trung học phổ thông quy định cụ thể loại hình trường được tuyển (công lập hoặc ngoài công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giới thiệu chuyển trường do Hiệu trưởng nhà trường nơi đi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giấy tờ hợp lệ để được hưởng chế độ ưu tiên, khuyến khích trong học tập, thi tuyển sinh, thi tốt nghiệp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chuyển trường do Trưởng phòng giáo dục và đào tạo (đối với cấp trung học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xác nhận của chính quyền địa phương nơi học sinh cư trú với những học sinh có hoàn cảnh đặc biệt khó khăn về gia đình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sở giáo dục phổ thông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Trường nơi đến hoặc Phòng giáo dục và đào tạo nơi đến.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Tiếp nhận học sinh trung học cơ sở của Hiệu trưởng hoặc Phòng giáo dục và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51/2002/QĐ-BGDĐT</w:t>
            </w:r>
          </w:p>
        </w:tc>
        <w:tc>
          <w:p/>
          <w:p>
            <w:pPr>
              <w:spacing w:after="0" w:before="0" w:lineRule="auto" w:line="276"/>
              <w:jc w:val="left"/>
            </w:pPr>
            <w:r>
              <w:rPr>
                <w:rFonts w:ascii="Times New Roman" w:hAnsi="Times New Roman" w:cs="Times New Roman" w:eastAsia="Times New Roman"/>
                <w:b w:val="false"/>
                <w:sz w:val="26"/>
              </w:rPr>
              <w:t>Quyết định 51/2002/QĐ-BGDĐT</w:t>
            </w:r>
          </w:p>
        </w:tc>
        <w:tc>
          <w:p/>
          <w:p>
            <w:pPr>
              <w:spacing w:after="0" w:before="0" w:lineRule="auto" w:line="276"/>
              <w:jc w:val="left"/>
            </w:pPr>
            <w:r>
              <w:rPr>
                <w:rFonts w:ascii="Times New Roman" w:hAnsi="Times New Roman" w:cs="Times New Roman" w:eastAsia="Times New Roman"/>
                <w:b w:val="false"/>
                <w:sz w:val="26"/>
              </w:rPr>
              <w:t>25-12-2002</w:t>
            </w:r>
          </w:p>
        </w:tc>
        <w:tc>
          <w:p/>
          <w:p>
            <w:pPr>
              <w:spacing w:after="0" w:before="0" w:lineRule="auto" w:line="276"/>
              <w:jc w:val="left"/>
            </w:pPr>
            <w:r>
              <w:rPr>
                <w:rFonts w:ascii="Times New Roman" w:hAnsi="Times New Roman" w:cs="Times New Roman" w:eastAsia="Times New Roman"/>
                <w:b w:val="false"/>
                <w:sz w:val="26"/>
              </w:rPr>
              <w:t>Bộ Giáo dục và Đào tạo</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Về đối tượng:
- Học sinh chuyển nơi cư trú theo cha hoặc mẹ hoặc người giám hộ.
- Học sinh có hoàn cảnh đặc biệt khó khăn về gia đình hoặc có lý do thực
sự chính đáng để phải chuyển trường.
b) Điều kiện chung:
-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
- Việc chuyển trường từ trường trung học bình thường sang trường trung
học chuyên biệt (phổ thông dân tộc nội trú, trường chuyên, trường năng khiếu)
thực hiện theo quy chế riêng của trường chuyên biệt đó.
- Việc chuyển trường từ trường trung học phổ thông ngoài công lập sang
trường trung học phổ thông công lập chỉ được xem xét, giải quyết trong hai
trường hợp sau:
+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775
quyết định từng trường hợp cụ thể đối với việc chuyển vào học trường trung học
phổ thông công lập.
+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2024-03-29T10:13:37Z</dcterms:created>
  <dc:creator>Apache POI</dc:creator>
</cp:coreProperties>
</file>