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1.004837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2466/QĐ-BTP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giám hộ</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Hộ tịch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Nếu lựa chọn hình thức nộp hồ sơ trực tiếp, người có yêu cầu đăng ký giám hộ nộp hồ sơ đăng ký giám hộ tại Bộ phận một cửa của UBND cấp xã có thẩm quyền; nộp lệ phí nếu thuộc trường hợp phải nộp lệ phí đăng ký giám hộ; nộp phí cấp bản sao Trích lục đăng ký giám hộ nếu có yêu cầu cấp bản sao Trích lục đăng ký giám hộ.</w:t>
      </w:r>
    </w:p>
    <w:p>
      <w:pPr>
        <w:spacing w:after="0" w:before="0" w:lineRule="auto" w:line="276"/>
        <w:jc w:val="both"/>
      </w:pPr>
      <w:r>
        <w:rPr>
          <w:rFonts w:ascii="Times New Roman" w:hAnsi="Times New Roman" w:cs="Times New Roman" w:eastAsia="Times New Roman"/>
          <w:b w:val="false"/>
          <w:sz w:val="26"/>
        </w:rPr>
        <w:t>- Nếu lựa chọn hình thức nộp hồ sơ trực tuyến, người có yêu cầu đăng ký giám hộ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pPr>
        <w:spacing w:after="0" w:before="0" w:lineRule="auto" w:line="276"/>
        <w:jc w:val="both"/>
      </w:pPr>
      <w:r>
        <w:rPr>
          <w:rFonts w:ascii="Times New Roman" w:hAnsi="Times New Roman" w:cs="Times New Roman" w:eastAsia="Times New Roman"/>
          <w:b w:val="false"/>
          <w:sz w:val="26"/>
        </w:rPr>
        <w:t>Người có yêu cầu đăng ký giám hộ trực tuyến cung cấp thông tin theo biểu mẫu điện tử tương tác đăng ký giám hộ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p>
    <w:p>
      <w:pPr>
        <w:spacing w:after="0" w:before="0" w:lineRule="auto" w:line="276"/>
        <w:jc w:val="both"/>
      </w:pPr>
      <w:r>
        <w:rPr>
          <w:rFonts w:ascii="Times New Roman" w:hAnsi="Times New Roman" w:cs="Times New Roman" w:eastAsia="Times New Roman"/>
          <w:b w:val="false"/>
          <w:sz w:val="26"/>
        </w:rPr>
        <w:t>- Cán bộ tiếp nhận hồ sơ tại Bộ phận một cửa có trách nhiệm kiểm tra tính chính xác, đầy đủ, thống nhất, hợp lệ của hồ sơ.</w:t>
      </w:r>
    </w:p>
    <w:p>
      <w:pPr>
        <w:spacing w:after="0" w:before="0" w:lineRule="auto" w:line="276"/>
        <w:jc w:val="both"/>
      </w:pPr>
      <w:r>
        <w:rPr>
          <w:rFonts w:ascii="Times New Roman" w:hAnsi="Times New Roman" w:cs="Times New Roman" w:eastAsia="Times New Roman"/>
          <w:b w:val="false"/>
          <w:sz w:val="26"/>
        </w:rPr>
        <w:t>(i)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pPr>
        <w:spacing w:after="0" w:before="0" w:lineRule="auto" w:line="276"/>
        <w:jc w:val="both"/>
      </w:pPr>
      <w:r>
        <w:rPr>
          <w:rFonts w:ascii="Times New Roman" w:hAnsi="Times New Roman" w:cs="Times New Roman" w:eastAsia="Times New Roman"/>
          <w:b w:val="false"/>
          <w:sz w:val="26"/>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pPr>
        <w:spacing w:after="0" w:before="0" w:lineRule="auto" w:line="276"/>
        <w:jc w:val="both"/>
      </w:pPr>
      <w:r>
        <w:rPr>
          <w:rFonts w:ascii="Times New Roman" w:hAnsi="Times New Roman" w:cs="Times New Roman" w:eastAsia="Times New Roman"/>
          <w:b w:val="false"/>
          <w:sz w:val="26"/>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pPr>
        <w:spacing w:after="0" w:before="0" w:lineRule="auto" w:line="276"/>
        <w:jc w:val="both"/>
      </w:pPr>
      <w:r>
        <w:rPr>
          <w:rFonts w:ascii="Times New Roman" w:hAnsi="Times New Roman" w:cs="Times New Roman" w:eastAsia="Times New Roman"/>
          <w:b w:val="false"/>
          <w:sz w:val="26"/>
        </w:rPr>
        <w:t>(iii) Trường hợp người có yêu cầu đăng ký giám hộ không bổ sung, hoàn thiện được hồ sơ thì báo cáo Trưởng bộ phận một cửa có thông báo từ chối giải quyết yêu cầu đăng ký giám hộ.</w:t>
      </w:r>
    </w:p>
    <w:p>
      <w:pPr>
        <w:spacing w:after="0" w:before="0" w:lineRule="auto" w:line="276"/>
        <w:jc w:val="both"/>
      </w:pPr>
      <w:r>
        <w:rPr>
          <w:rFonts w:ascii="Times New Roman" w:hAnsi="Times New Roman" w:cs="Times New Roman" w:eastAsia="Times New Roman"/>
          <w:b w:val="false"/>
          <w:sz w:val="26"/>
        </w:rPr>
        <w:t>- Công chức tư pháp - hộ tịch thẩm tra hồ sơ (thẩm tra tính thống nhất, hợp lệ của các thông tin trong hồ sơ, giấy tờ, tài liệu do người yêu cầu nộp, xuất trình hoặc đính kèm).</w:t>
      </w:r>
    </w:p>
    <w:p>
      <w:pPr>
        <w:spacing w:after="0" w:before="0" w:lineRule="auto" w:line="276"/>
        <w:jc w:val="both"/>
      </w:pPr>
      <w:r>
        <w:rPr>
          <w:rFonts w:ascii="Times New Roman" w:hAnsi="Times New Roman" w:cs="Times New Roman" w:eastAsia="Times New Roman"/>
          <w:b w:val="false"/>
          <w:sz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pPr>
        <w:spacing w:after="0" w:before="0" w:lineRule="auto" w:line="276"/>
        <w:jc w:val="both"/>
      </w:pPr>
      <w:r>
        <w:rPr>
          <w:rFonts w:ascii="Times New Roman" w:hAnsi="Times New Roman" w:cs="Times New Roman" w:eastAsia="Times New Roman"/>
          <w:b w:val="false"/>
          <w:sz w:val="26"/>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pPr>
        <w:spacing w:after="0" w:before="0" w:lineRule="auto" w:line="276"/>
        <w:jc w:val="both"/>
      </w:pPr>
      <w:r>
        <w:rPr>
          <w:rFonts w:ascii="Times New Roman" w:hAnsi="Times New Roman" w:cs="Times New Roman" w:eastAsia="Times New Roman"/>
          <w:b w:val="false"/>
          <w:sz w:val="26"/>
        </w:rPr>
        <w:t>+ Nếu thấy yêu cầu đăng ký giám hộ đủ điều kiện theo quy định pháp luật, hồ sơ đầy đủ, hợp lệ, đúng quy định, trường hợp tiếp nhận hồ sơ đăng ký giám hộ theo hình thức trực tiếp, thì công chức tư pháp - hộ tịch thực hiện việc ghi vào Sổ đăng ký giám hộ, cập nhật thông tin đăng ký giám hộ và lưu chính thức trên Phần mềm đăng ký, quản lý hộ tịch điện tử dùng chung.</w:t>
      </w:r>
    </w:p>
    <w:p>
      <w:pPr>
        <w:spacing w:after="0" w:before="0" w:lineRule="auto" w:line="276"/>
        <w:jc w:val="both"/>
      </w:pPr>
      <w:r>
        <w:rPr>
          <w:rFonts w:ascii="Times New Roman" w:hAnsi="Times New Roman" w:cs="Times New Roman" w:eastAsia="Times New Roman"/>
          <w:b w:val="false"/>
          <w:sz w:val="26"/>
        </w:rPr>
        <w:t>Trường hợp tiếp nhận hồ sơ đăng ký giám hộ theo hình thức trực tuyến, công chức tư pháp - hộ tịch gửi lại biểu mẫu Trích lục đăng ký giám hộ điện tử với thông tin đầy đủ cho người yêu cầu qua thư điện tử hoặc thiết bị số.</w:t>
      </w:r>
    </w:p>
    <w:p>
      <w:pPr>
        <w:spacing w:after="0" w:before="0" w:lineRule="auto" w:line="276"/>
        <w:jc w:val="both"/>
      </w:pPr>
      <w:r>
        <w:rPr>
          <w:rFonts w:ascii="Times New Roman" w:hAnsi="Times New Roman" w:cs="Times New Roman" w:eastAsia="Times New Roman"/>
          <w:b w:val="false"/>
          <w:sz w:val="26"/>
        </w:rPr>
        <w:t>Người yêu cầu có trách nhiệm kiểm tra tính chính xác, đầy đủ của các thông tin trên biểu mẫu Trích lục đăng ký giám hộ điện tử và xác nhận (tối đa         một ngày).</w:t>
      </w:r>
    </w:p>
    <w:p>
      <w:pPr>
        <w:spacing w:after="0" w:before="0" w:lineRule="auto" w:line="276"/>
        <w:jc w:val="both"/>
      </w:pPr>
      <w:r>
        <w:rPr>
          <w:rFonts w:ascii="Times New Roman" w:hAnsi="Times New Roman" w:cs="Times New Roman" w:eastAsia="Times New Roman"/>
          <w:b w:val="false"/>
          <w:sz w:val="26"/>
        </w:rPr>
        <w:t>Nếu người có yêu cầu xác nhận thông tin đã thống nhất, đầy đủ hoặc không có phản hồi sau thời hạn yêu cầu thì công chức tư pháp - hộ tịch thực hiện việc ghi nội dung vào Sổ đăng ký giám hộ, cập nhật thông tin đăng ký giám hộ và lưu chính thức trên Phần mềm đăng ký, quản lý hộ tịch điện tử dùng chung.</w:t>
      </w:r>
    </w:p>
    <w:p>
      <w:pPr>
        <w:spacing w:after="0" w:before="0" w:lineRule="auto" w:line="276"/>
        <w:jc w:val="both"/>
      </w:pPr>
      <w:r>
        <w:rPr>
          <w:rFonts w:ascii="Times New Roman" w:hAnsi="Times New Roman" w:cs="Times New Roman" w:eastAsia="Times New Roman"/>
          <w:b w:val="false"/>
          <w:sz w:val="26"/>
        </w:rPr>
        <w:t>- Công chức tư pháp - hộ tịch in Trích lục đăng ký giám hộ, trình Lãnh đạo UBND ký, chuyển Bộ phận một cửa trả kết quả cho người có yêu cầu.</w:t>
      </w:r>
    </w:p>
    <w:p>
      <w:pPr>
        <w:spacing w:after="0" w:before="0" w:lineRule="auto" w:line="276"/>
        <w:jc w:val="both"/>
      </w:pPr>
      <w:r>
        <w:rPr>
          <w:rFonts w:ascii="Times New Roman" w:hAnsi="Times New Roman" w:cs="Times New Roman" w:eastAsia="Times New Roman"/>
          <w:b w:val="false"/>
          <w:sz w:val="26"/>
        </w:rPr>
        <w:t>- Người có yêu cầu đăng ký giám hộ kiểm tra thông tin trên Trích lục đăng ký giám hộ, trong Sổ đăng ký đăng ký giám hộ, ký tên vào Sổ đăng ký giám hộ, nhận Trích lục đăng ký giám hộ.</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(Phí cấp bản sao Trích lục đăng ký giám hộ (nếu có yêu cầu) thực hiện theo quy định tại Thông tư số 281/2016/TT-BTC ngày 14/11/2016 của Bộ Tài chính.)</w:t>
            </w:r>
          </w:p>
          <w:p>
            <w:pPr>
              <w:spacing w:after="0" w:before="0" w:lineRule="auto" w:line="276"/>
              <w:jc w:val="left"/>
            </w:pPr>
            <w:r>
              <w:rPr>
                <w:rFonts w:ascii="Times New Roman" w:hAnsi="Times New Roman" w:cs="Times New Roman" w:eastAsia="Times New Roman"/>
                <w:b w:val="false"/>
                <w:sz w:val="26"/>
              </w:rPr>
              <w:t xml:space="preserve">Lệ phí : Miễn lệ phí. </w:t>
            </w:r>
          </w:p>
        </w:tc>
        <w:tc>
          <w:p/>
          <w:p>
            <w:pPr>
              <w:spacing w:after="0" w:before="0" w:lineRule="auto" w:line="276"/>
              <w:jc w:val="left"/>
            </w:pPr>
            <w:r>
              <w:rPr>
                <w:rFonts w:ascii="Times New Roman" w:hAnsi="Times New Roman" w:cs="Times New Roman" w:eastAsia="Times New Roman"/>
                <w:b w:val="false"/>
                <w:sz w:val="26"/>
              </w:rPr>
              <w:t>Người có yêu cầu đăng ký giám hộ trực tiếp thực hiện hoặc ủy quyền cho người khác thực hiện nộp hồ sơ trực tiếp tại Bộ phận một cửa của UBND cấp xã hoặc gửi hồ sơ qua hệ thống bưu chính hoặc nộp hồ sơ trực tuyến trên Cổng dịch vụ công quốc gia (https://dichvucong.gov.vn) hoặc Cổng dịch vụ công cấp tỉnh (https://dichvucong.---.gov.vn).</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(Phí cấp bản sao Trích lục đăng ký giám hộ (nếu có yêu cầu) thực hiện theo quy định tại Thông tư số 281/2016/TT-BTC ngày 14/11/2016 của Bộ Tài chính.)</w:t>
            </w:r>
          </w:p>
          <w:p>
            <w:pPr>
              <w:spacing w:after="0" w:before="0" w:lineRule="auto" w:line="276"/>
              <w:jc w:val="left"/>
            </w:pPr>
            <w:r>
              <w:rPr>
                <w:rFonts w:ascii="Times New Roman" w:hAnsi="Times New Roman" w:cs="Times New Roman" w:eastAsia="Times New Roman"/>
                <w:b w:val="false"/>
                <w:sz w:val="26"/>
              </w:rPr>
              <w:t xml:space="preserve">Lệ phí : Miễn lệ phí. </w:t>
            </w:r>
          </w:p>
        </w:tc>
        <w:tc>
          <w:p/>
          <w:p>
            <w:pPr>
              <w:spacing w:after="0" w:before="0" w:lineRule="auto" w:line="276"/>
              <w:jc w:val="left"/>
            </w:pPr>
            <w:r>
              <w:rPr>
                <w:rFonts w:ascii="Times New Roman" w:hAnsi="Times New Roman" w:cs="Times New Roman" w:eastAsia="Times New Roman"/>
                <w:b w:val="false"/>
                <w:sz w:val="26"/>
              </w:rPr>
              <w:t>Người có yêu cầu đăng ký giám hộ trực tiếp thực hiện hoặc ủy quyền cho người khác thực hiện nộp hồ sơ trực tiếp tại Bộ phận một cửa của UBND cấp xã hoặc gửi hồ sơ qua hệ thống bưu chính hoặc nộp hồ sơ trực tuyến trên Cổng dịch vụ công quốc gia (https://dichvucong.gov.vn) hoặc Cổng dịch vụ công cấp tỉnh (https://dichvucong.---.gov.vn).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(Phí cấp bản sao Trích lục đăng ký giám hộ (nếu có yêu cầu) thực hiện theo quy định tại Thông tư số 281/2016/TT-BTC ngày 14/11/2016 của Bộ Tài chính.)</w:t>
            </w:r>
          </w:p>
          <w:p>
            <w:pPr>
              <w:spacing w:after="0" w:before="0" w:lineRule="auto" w:line="276"/>
              <w:jc w:val="left"/>
            </w:pPr>
            <w:r>
              <w:rPr>
                <w:rFonts w:ascii="Times New Roman" w:hAnsi="Times New Roman" w:cs="Times New Roman" w:eastAsia="Times New Roman"/>
                <w:b w:val="false"/>
                <w:sz w:val="26"/>
              </w:rPr>
              <w:t xml:space="preserve">Lệ phí : Miễn lệ phí. </w:t>
            </w:r>
          </w:p>
        </w:tc>
        <w:tc>
          <w:p/>
          <w:p>
            <w:pPr>
              <w:spacing w:after="0" w:before="0" w:lineRule="auto" w:line="276"/>
              <w:jc w:val="left"/>
            </w:pPr>
            <w:r>
              <w:rPr>
                <w:rFonts w:ascii="Times New Roman" w:hAnsi="Times New Roman" w:cs="Times New Roman" w:eastAsia="Times New Roman"/>
                <w:b w:val="false"/>
                <w:sz w:val="26"/>
              </w:rPr>
              <w:t>Người có yêu cầu đăng ký giám hộ trực tiếp thực hiện hoặc ủy quyền cho người khác thực hiện nộp hồ sơ trực tiếp tại Bộ phận một cửa của UBND cấp xã hoặc gửi hồ sơ qua hệ thống bưu chính hoặc nộp hồ sơ trực tuyến trên Cổng dịch vụ công quốc gia (https://dichvucong.gov.vn) hoặc Cổng dịch vụ công cấp tỉnh (https://dichvucong.---.gov.vn).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 * Giấy tờ phải xuất trình: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Trường hợp các thông tin cá nhân trong các giấy tờ này đã có trong CSDLQGVDC, CSDLHTĐT, được hệ thống điền tự động thì không phải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gửi hồ sơ qua hệ thống bưu chính thì phải gửi kèm theo bản sao có chứng thực các giấy tờ phải xuất trình nêu trên.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Giấy tờ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cử người giám hộ theo quy định của Bộ luật Dân sự đối với trường hợp đăng ký giám hộ cử.</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ủy quyền theo quy định của pháp luật trong trường hợp ủy quyền thực hiện việc đăng ký giám hộ. Trường hợp người được ủy quyền là ông, bà, cha, mẹ, con, vợ, chồng, anh, chị, em ruột của người ủy quyền thì văn bản ủy quyền không phải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Lưu ý:</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Đối với giấy tờ nộp, xuất trình nếu người yêu cầu nộp hồ sơ theo hình thức trực tiếp: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gửi kèm theo nếu người yêu cầu nộp hồ sơ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chụp các giấy tờ gửi kèm theo hồ sơ đăng ký giám hộ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hộ tịch.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người yêu cầu đăng ký giám hộ không cung cấp được giấy tờ nêu trên theo quy định hoặc giấy tờ nộp, xuất trình bị tẩy xóa, sửa chữa, làm giả thì cơ quan đăng ký hộ tịch có thẩm quyền hủy bỏ kết quả đăng ký giám hộ.</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đăng ký giám hộ theo mẫu (nếu người có yêu cầu lựa chọn nộp hồ sơ theo hình thức trực tiếp);</w:t>
            </w:r>
          </w:p>
        </w:tc>
        <w:tc>
          <w:p/>
          <w:p>
            <w:pPr>
              <w:spacing w:after="0" w:before="0" w:lineRule="auto" w:line="276"/>
              <w:jc w:val="left"/>
            </w:pPr>
            <w:r>
              <w:rPr>
                <w:rFonts w:ascii="Times New Roman" w:hAnsi="Times New Roman" w:cs="Times New Roman" w:eastAsia="Times New Roman"/>
                <w:b w:val="false"/>
                <w:sz w:val="26"/>
              </w:rPr>
              <w:t>4. TK đăng ký giám hộ.doc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Mẫu hộ tịch điện tử tương tác đăng ký giám hộ (do người yêu cầu cung cấp thông tin theo hướng dẫn trên Cổng dịch vụ công, nếu người có yêu cầu lựa chọn nộp hồ sơ theo hình thức trực tuyến)</w:t>
            </w:r>
          </w:p>
        </w:tc>
        <w:tc>
          <w:p/>
          <w:p>
            <w:pPr>
              <w:spacing w:after="0" w:before="0" w:lineRule="auto" w:line="276"/>
              <w:jc w:val="left"/>
            </w:pPr>
            <w:r>
              <w:rPr>
                <w:rFonts w:ascii="Times New Roman" w:hAnsi="Times New Roman" w:cs="Times New Roman" w:eastAsia="Times New Roman"/>
                <w:b w:val="false"/>
                <w:sz w:val="26"/>
              </w:rPr>
              <w:t>4 Đăng ký giám hộ.docx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có yêu cầu đăng ký giám hộ thực hiện việc nộp/xuất trình (theo hình thức trực tiếp) hoặc tải lên (theo hình thức trực tuyến) các giấy tờ sau: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Trích lục đăng ký giám hộ, Bản sao Trích lục đăng ký giám hộ, Bản điện tử Trích lục đăng ký giám hộ</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60/2014/QH13</w:t>
            </w:r>
          </w:p>
        </w:tc>
        <w:tc>
          <w:p/>
          <w:p>
            <w:pPr>
              <w:spacing w:after="0" w:before="0" w:lineRule="auto" w:line="276"/>
              <w:jc w:val="left"/>
            </w:pPr>
            <w:r>
              <w:rPr>
                <w:rFonts w:ascii="Times New Roman" w:hAnsi="Times New Roman" w:cs="Times New Roman" w:eastAsia="Times New Roman"/>
                <w:b w:val="false"/>
                <w:sz w:val="26"/>
              </w:rPr>
              <w:t>Luật 60/2014/QH13</w:t>
            </w:r>
          </w:p>
        </w:tc>
        <w:tc>
          <w:p/>
          <w:p>
            <w:pPr>
              <w:spacing w:after="0" w:before="0" w:lineRule="auto" w:line="276"/>
              <w:jc w:val="left"/>
            </w:pPr>
            <w:r>
              <w:rPr>
                <w:rFonts w:ascii="Times New Roman" w:hAnsi="Times New Roman" w:cs="Times New Roman" w:eastAsia="Times New Roman"/>
                <w:b w:val="false"/>
                <w:sz w:val="26"/>
              </w:rPr>
              <w:t>20-11-2014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123/2015/NĐ-CP</w:t>
            </w:r>
          </w:p>
        </w:tc>
        <w:tc>
          <w:p/>
          <w:p>
            <w:pPr>
              <w:spacing w:after="0" w:before="0" w:lineRule="auto" w:line="276"/>
              <w:jc w:val="left"/>
            </w:pPr>
            <w:r>
              <w:rPr>
                <w:rFonts w:ascii="Times New Roman" w:hAnsi="Times New Roman" w:cs="Times New Roman" w:eastAsia="Times New Roman"/>
                <w:b w:val="false"/>
                <w:sz w:val="26"/>
              </w:rPr>
              <w:t>Nghị định 123/2015/NĐ-CP</w:t>
            </w:r>
          </w:p>
        </w:tc>
        <w:tc>
          <w:p/>
          <w:p>
            <w:pPr>
              <w:spacing w:after="0" w:before="0" w:lineRule="auto" w:line="276"/>
              <w:jc w:val="left"/>
            </w:pPr>
            <w:r>
              <w:rPr>
                <w:rFonts w:ascii="Times New Roman" w:hAnsi="Times New Roman" w:cs="Times New Roman" w:eastAsia="Times New Roman"/>
                <w:b w:val="false"/>
                <w:sz w:val="26"/>
              </w:rPr>
              <w:t>15-11-2015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xml:space="preserve">Thông tư số 281/2016/TT-BTC </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91/2015/QH13</w:t>
            </w:r>
          </w:p>
        </w:tc>
        <w:tc>
          <w:p/>
          <w:p>
            <w:pPr>
              <w:spacing w:after="0" w:before="0" w:lineRule="auto" w:line="276"/>
              <w:jc w:val="left"/>
            </w:pPr>
            <w:r>
              <w:rPr>
                <w:rFonts w:ascii="Times New Roman" w:hAnsi="Times New Roman" w:cs="Times New Roman" w:eastAsia="Times New Roman"/>
                <w:b w:val="false"/>
                <w:sz w:val="26"/>
              </w:rPr>
              <w:t>Bộ luật dân sự</w:t>
            </w:r>
          </w:p>
        </w:tc>
        <w:tc>
          <w:p/>
          <w:p>
            <w:pPr>
              <w:spacing w:after="0" w:before="0" w:lineRule="auto" w:line="276"/>
              <w:jc w:val="left"/>
            </w:pPr>
            <w:r>
              <w:rPr>
                <w:rFonts w:ascii="Times New Roman" w:hAnsi="Times New Roman" w:cs="Times New Roman" w:eastAsia="Times New Roman"/>
                <w:b w:val="false"/>
                <w:sz w:val="26"/>
              </w:rPr>
              <w:t>24-11-2015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04/2020/TT-BTP</w:t>
            </w:r>
          </w:p>
        </w:tc>
        <w:tc>
          <w:p/>
          <w:p>
            <w:pPr>
              <w:spacing w:after="0" w:before="0" w:lineRule="auto" w:line="276"/>
              <w:jc w:val="left"/>
            </w:pPr>
            <w:r>
              <w:rPr>
                <w:rFonts w:ascii="Times New Roman" w:hAnsi="Times New Roman" w:cs="Times New Roman" w:eastAsia="Times New Roman"/>
                <w:b w:val="false"/>
                <w:sz w:val="26"/>
              </w:rPr>
              <w:t>Thông tư 04/2020/TT-BTP</w:t>
            </w:r>
          </w:p>
        </w:tc>
        <w:tc>
          <w:p/>
          <w:p>
            <w:pPr>
              <w:spacing w:after="0" w:before="0" w:lineRule="auto" w:line="276"/>
              <w:jc w:val="left"/>
            </w:pPr>
            <w:r>
              <w:rPr>
                <w:rFonts w:ascii="Times New Roman" w:hAnsi="Times New Roman" w:cs="Times New Roman" w:eastAsia="Times New Roman"/>
                <w:b w:val="false"/>
                <w:sz w:val="26"/>
              </w:rPr>
              <w:t>28-05-2020</w:t>
            </w:r>
          </w:p>
        </w:tc>
        <w:tc>
          <w:p/>
        </w:tc>
      </w:tr>
      <w:tr>
        <w:tc>
          <w:p/>
          <w:p>
            <w:pPr>
              <w:spacing w:after="0" w:before="0" w:lineRule="auto" w:line="276"/>
              <w:jc w:val="left"/>
            </w:pPr>
            <w:r>
              <w:rPr>
                <w:rFonts w:ascii="Times New Roman" w:hAnsi="Times New Roman" w:cs="Times New Roman" w:eastAsia="Times New Roman"/>
                <w:b w:val="false"/>
                <w:sz w:val="26"/>
              </w:rPr>
              <w:t>85/2019/TT-BTC</w:t>
            </w:r>
          </w:p>
        </w:tc>
        <w:tc>
          <w:p/>
          <w:p>
            <w:pPr>
              <w:spacing w:after="0" w:before="0" w:lineRule="auto" w:line="276"/>
              <w:jc w:val="left"/>
            </w:pPr>
            <w:r>
              <w:rPr>
                <w:rFonts w:ascii="Times New Roman" w:hAnsi="Times New Roman" w:cs="Times New Roman" w:eastAsia="Times New Roman"/>
                <w:b w:val="false"/>
                <w:sz w:val="26"/>
              </w:rPr>
              <w:t>Thông tư 85/2019/TT-BTC</w:t>
            </w:r>
          </w:p>
        </w:tc>
        <w:tc>
          <w:p/>
          <w:p>
            <w:pPr>
              <w:spacing w:after="0" w:before="0" w:lineRule="auto" w:line="276"/>
              <w:jc w:val="left"/>
            </w:pPr>
            <w:r>
              <w:rPr>
                <w:rFonts w:ascii="Times New Roman" w:hAnsi="Times New Roman" w:cs="Times New Roman" w:eastAsia="Times New Roman"/>
                <w:b w:val="false"/>
                <w:sz w:val="26"/>
              </w:rPr>
              <w:t>29-11-2019</w:t>
            </w:r>
          </w:p>
        </w:tc>
        <w:tc>
          <w:p/>
        </w:tc>
      </w:tr>
      <w:tr>
        <w:tc>
          <w:p/>
          <w:p>
            <w:pPr>
              <w:spacing w:after="0" w:before="0" w:lineRule="auto" w:line="276"/>
              <w:jc w:val="left"/>
            </w:pPr>
            <w:r>
              <w:rPr>
                <w:rFonts w:ascii="Times New Roman" w:hAnsi="Times New Roman" w:cs="Times New Roman" w:eastAsia="Times New Roman"/>
                <w:b w:val="false"/>
                <w:sz w:val="26"/>
              </w:rPr>
              <w:t>01/2022/TT-BTP</w:t>
            </w:r>
          </w:p>
        </w:tc>
        <w:tc>
          <w:p/>
          <w:p>
            <w:pPr>
              <w:spacing w:after="0" w:before="0" w:lineRule="auto" w:line="276"/>
              <w:jc w:val="left"/>
            </w:pPr>
            <w:r>
              <w:rPr>
                <w:rFonts w:ascii="Times New Roman" w:hAnsi="Times New Roman" w:cs="Times New Roman" w:eastAsia="Times New Roman"/>
                <w:b w:val="false"/>
                <w:sz w:val="26"/>
              </w:rPr>
              <w:t>Thông tư sửa đổi</w:t>
            </w:r>
          </w:p>
        </w:tc>
        <w:tc>
          <w:p/>
          <w:p>
            <w:pPr>
              <w:spacing w:after="0" w:before="0" w:lineRule="auto" w:line="276"/>
              <w:jc w:val="left"/>
            </w:pPr>
            <w:r>
              <w:rPr>
                <w:rFonts w:ascii="Times New Roman" w:hAnsi="Times New Roman" w:cs="Times New Roman" w:eastAsia="Times New Roman"/>
                <w:b w:val="false"/>
                <w:sz w:val="26"/>
              </w:rPr>
              <w:t>04-01-2022</w:t>
            </w:r>
          </w:p>
        </w:tc>
        <w:tc>
          <w:p/>
        </w:tc>
      </w:tr>
      <w:tr>
        <w:tc>
          <w:p/>
          <w:p>
            <w:pPr>
              <w:spacing w:after="0" w:before="0" w:lineRule="auto" w:line="276"/>
              <w:jc w:val="left"/>
            </w:pPr>
            <w:r>
              <w:rPr>
                <w:rFonts w:ascii="Times New Roman" w:hAnsi="Times New Roman" w:cs="Times New Roman" w:eastAsia="Times New Roman"/>
                <w:b w:val="false"/>
                <w:sz w:val="26"/>
              </w:rPr>
              <w:t>106/2021/TT-BTC</w:t>
            </w:r>
          </w:p>
        </w:tc>
        <w:tc>
          <w:p/>
          <w:p>
            <w:pPr>
              <w:spacing w:after="0" w:before="0" w:lineRule="auto" w:line="276"/>
              <w:jc w:val="left"/>
            </w:pPr>
            <w:r>
              <w:rPr>
                <w:rFonts w:ascii="Times New Roman" w:hAnsi="Times New Roman" w:cs="Times New Roman" w:eastAsia="Times New Roman"/>
                <w:b w:val="false"/>
                <w:sz w:val="26"/>
              </w:rPr>
              <w:t>Thông tư 106/2021/TT-BTC</w:t>
            </w:r>
          </w:p>
        </w:tc>
        <w:tc>
          <w:p/>
          <w:p>
            <w:pPr>
              <w:spacing w:after="0" w:before="0" w:lineRule="auto" w:line="276"/>
              <w:jc w:val="left"/>
            </w:pPr>
            <w:r>
              <w:rPr>
                <w:rFonts w:ascii="Times New Roman" w:hAnsi="Times New Roman" w:cs="Times New Roman" w:eastAsia="Times New Roman"/>
                <w:b w:val="false"/>
                <w:sz w:val="26"/>
              </w:rPr>
              <w:t>26-11-2021</w:t>
            </w:r>
          </w:p>
        </w:tc>
        <w:tc>
          <w:p/>
        </w:tc>
      </w:tr>
      <w:tr>
        <w:tc>
          <w:p/>
          <w:p>
            <w:pPr>
              <w:spacing w:after="0" w:before="0" w:lineRule="auto" w:line="276"/>
              <w:jc w:val="left"/>
            </w:pPr>
            <w:r>
              <w:rPr>
                <w:rFonts w:ascii="Times New Roman" w:hAnsi="Times New Roman" w:cs="Times New Roman" w:eastAsia="Times New Roman"/>
                <w:b w:val="false"/>
                <w:sz w:val="26"/>
              </w:rPr>
              <w:t>87/2020/NĐ-CP</w:t>
            </w:r>
          </w:p>
        </w:tc>
        <w:tc>
          <w:p/>
          <w:p>
            <w:pPr>
              <w:spacing w:after="0" w:before="0" w:lineRule="auto" w:line="276"/>
              <w:jc w:val="left"/>
            </w:pPr>
            <w:r>
              <w:rPr>
                <w:rFonts w:ascii="Times New Roman" w:hAnsi="Times New Roman" w:cs="Times New Roman" w:eastAsia="Times New Roman"/>
                <w:b w:val="false"/>
                <w:sz w:val="26"/>
              </w:rPr>
              <w:t>Nghị định 87/2020/NĐ-CP</w:t>
            </w:r>
          </w:p>
        </w:tc>
        <w:tc>
          <w:p/>
          <w:p>
            <w:pPr>
              <w:spacing w:after="0" w:before="0" w:lineRule="auto" w:line="276"/>
              <w:jc w:val="left"/>
            </w:pPr>
            <w:r>
              <w:rPr>
                <w:rFonts w:ascii="Times New Roman" w:hAnsi="Times New Roman" w:cs="Times New Roman" w:eastAsia="Times New Roman"/>
                <w:b w:val="false"/>
                <w:sz w:val="26"/>
              </w:rPr>
              <w:t>28-07-2020</w:t>
            </w:r>
          </w:p>
        </w:tc>
        <w:tc>
          <w:p/>
        </w:tc>
      </w:tr>
      <w:tr>
        <w:tc>
          <w:p/>
          <w:p>
            <w:pPr>
              <w:spacing w:after="0" w:before="0" w:lineRule="auto" w:line="276"/>
              <w:jc w:val="left"/>
            </w:pPr>
            <w:r>
              <w:rPr>
                <w:rFonts w:ascii="Times New Roman" w:hAnsi="Times New Roman" w:cs="Times New Roman" w:eastAsia="Times New Roman"/>
                <w:b w:val="false"/>
                <w:sz w:val="26"/>
              </w:rPr>
              <w:t>104/2022/NĐ-CP</w:t>
            </w:r>
          </w:p>
        </w:tc>
        <w:tc>
          <w:p/>
          <w:p>
            <w:pPr>
              <w:spacing w:after="0" w:before="0" w:lineRule="auto" w:line="276"/>
              <w:jc w:val="left"/>
            </w:pPr>
            <w:r>
              <w:rPr>
                <w:rFonts w:ascii="Times New Roman" w:hAnsi="Times New Roman" w:cs="Times New Roman" w:eastAsia="Times New Roman"/>
                <w:b w:val="false"/>
                <w:sz w:val="26"/>
              </w:rPr>
              <w:t>Nghị định sửa đổi, bổ sung một số điều của các nghị định liên quan đến việc nộp, xuất trình sổ hộ khẩu, sổ tạm trú giấy khi thực hiện thủ tục hành chính, cung cấp dịch vụ công</w:t>
            </w:r>
          </w:p>
        </w:tc>
        <w:tc>
          <w:p/>
          <w:p>
            <w:pPr>
              <w:spacing w:after="0" w:before="0" w:lineRule="auto" w:line="276"/>
              <w:jc w:val="left"/>
            </w:pPr>
            <w:r>
              <w:rPr>
                <w:rFonts w:ascii="Times New Roman" w:hAnsi="Times New Roman" w:cs="Times New Roman" w:eastAsia="Times New Roman"/>
                <w:b w:val="false"/>
                <w:sz w:val="26"/>
              </w:rPr>
              <w:t>21-12-2022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Thông tư số 03/2023/TT-BTP</w:t>
            </w:r>
          </w:p>
        </w:tc>
        <w:tc>
          <w:p/>
          <w:p>
            <w:pPr>
              <w:spacing w:after="0" w:before="0" w:lineRule="auto" w:line="276"/>
              <w:jc w:val="left"/>
            </w:pPr>
            <w:r>
              <w:rPr>
                <w:rFonts w:ascii="Times New Roman" w:hAnsi="Times New Roman" w:cs="Times New Roman" w:eastAsia="Times New Roman"/>
                <w:b w:val="false"/>
                <w:sz w:val="26"/>
              </w:rPr>
              <w:t>Thông tư số 03/2023/TT-BTP ngày 02/8/2023 của Bộ trưởng Bộ Tư pháp</w:t>
            </w:r>
          </w:p>
        </w:tc>
        <w:tc>
          <w:p/>
          <w:p>
            <w:pPr>
              <w:spacing w:after="0" w:before="0" w:lineRule="auto" w:line="276"/>
              <w:jc w:val="left"/>
            </w:pPr>
            <w:r>
              <w:rPr>
                <w:rFonts w:ascii="Times New Roman" w:hAnsi="Times New Roman" w:cs="Times New Roman" w:eastAsia="Times New Roman"/>
                <w:b w:val="false"/>
                <w:sz w:val="26"/>
              </w:rPr>
              <w:t>02-08-2023</w:t>
            </w:r>
          </w:p>
        </w:tc>
        <w:tc>
          <w:p/>
          <w:p>
            <w:pPr>
              <w:spacing w:after="0" w:before="0" w:lineRule="auto" w:line="276"/>
              <w:jc w:val="left"/>
            </w:pPr>
            <w:r>
              <w:rPr>
                <w:rFonts w:ascii="Times New Roman" w:hAnsi="Times New Roman" w:cs="Times New Roman" w:eastAsia="Times New Roman"/>
                <w:b w:val="false"/>
                <w:sz w:val="26"/>
              </w:rPr>
              <w:t>Bộ trưởng 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2024-03-28T12:39:14Z</dcterms:created>
  <dc:creator>Apache POI</dc:creator>
</cp:coreProperties>
</file>