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1.004837.000.00.00.H32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giám hộ</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có yêu cầu đăng ký giám hộ nộp hồ sơ tại Ủy ban nhân dân cấp xã có thẩm quyền.</w:t>
      </w:r>
    </w:p>
    <w:p>
      <w:pPr>
        <w:spacing w:after="0" w:before="0" w:lineRule="auto" w:line="276"/>
        <w:jc w:val="both"/>
      </w:pPr>
      <w:r>
        <w:rPr>
          <w:rFonts w:ascii="Times New Roman" w:hAnsi="Times New Roman" w:cs="Times New Roman" w:eastAsia="Times New Roman"/>
          <w:b w:val="false"/>
          <w:sz w:val="26"/>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pPr>
        <w:spacing w:after="0" w:before="0" w:lineRule="auto" w:line="276"/>
        <w:jc w:val="both"/>
      </w:pPr>
      <w:r>
        <w:rPr>
          <w:rFonts w:ascii="Times New Roman" w:hAnsi="Times New Roman" w:cs="Times New Roman" w:eastAsia="Times New Roman"/>
          <w:b w:val="false"/>
          <w:sz w:val="26"/>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pPr>
        <w:spacing w:after="0" w:before="0" w:lineRule="auto" w:line="276"/>
        <w:jc w:val="both"/>
      </w:pPr>
      <w:r>
        <w:rPr>
          <w:rFonts w:ascii="Times New Roman" w:hAnsi="Times New Roman" w:cs="Times New Roman" w:eastAsia="Times New Roman"/>
          <w:b w:val="false"/>
          <w:sz w:val="26"/>
        </w:rPr>
        <w:t>- Trong thời hạn 03 ngày làm việc, kể từ ngày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cùng người đi đăng ký giám hộ ký vào Sổ. Chủ tịch Ủy ban nhân dân cấp xã cấp Trích lục đăng ký giám hộ cho người yêu cầu.</w:t>
      </w:r>
    </w:p>
    <w:p>
      <w:pPr>
        <w:shd w:val="clear" w:color="auto" w:fill="F2F6F9"/>
        <w:spacing w:after="0" w:before="120" w:lineRule="auto" w:line="276"/>
        <w:jc w:val="both"/>
      </w:pPr>
      <w:r>
        <w:rPr>
          <w:rFonts w:ascii="Times New Roman" w:hAnsi="Times New Roman" w:cs="Times New Roman" w:eastAsia="Times New Roman"/>
          <w:b w:val="true"/>
          <w:sz w:val="26"/>
        </w:rPr>
        <w:t>* Lưu ý:</w:t>
      </w:r>
    </w:p>
    <w:p>
      <w:pPr>
        <w:spacing w:after="0" w:before="0" w:lineRule="auto" w:line="276"/>
        <w:jc w:val="both"/>
      </w:pPr>
      <w:r>
        <w:rPr>
          <w:rFonts w:ascii="Times New Roman" w:hAnsi="Times New Roman" w:cs="Times New Roman" w:eastAsia="Times New Roman"/>
          <w:b w:val="false"/>
          <w:sz w:val="26"/>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 xml:space="preserve">Lệ phí : Miễn lệ phí.  - Phí cấp bản sao Trích lục đăng ký giám hộ  (nếu có yêu cầu): 8.000 đồng/bản sao trích lục. </w:t>
              <w:br/>
              <w:t>File đính kèm: 494461.pdf</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 xml:space="preserve">Lệ phí : Miễn lệ phí.  - Phí cấp bản sao Trích lục đăng ký giám hộ  (nếu có yêu cầu): 8.000 đồng/bản sao trích lục. </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 xml:space="preserve">Lệ phí : Miễn lệ phí.  - Phí cấp bản sao Trích lục đăng ký giám hộ  (nếu có yêu cầu): 8.000 đồng/bản sao trích lục. </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cử người giám hộ theo quy định của Bộ luật Dân sự đối với trường hợp đăng ký giám hộ cử.</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giám hộ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giám hộ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4. TK đăng ký giám hộ.doc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giám hộ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4 Đăng ký giám hộ.docx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giám hộ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 UBND cấp xã-tỉnh Khánh Hòa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 nơi cư trú của người được giám hộ hoặc người giám hộ</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đăng ký giám hộ, Bản sao Trích lục đăng ký giám hộ, Bản điện tử Trích lục đăng ký giám hộ</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33/2005/QH11	</w:t>
            </w:r>
          </w:p>
        </w:tc>
        <w:tc>
          <w:p/>
          <w:p>
            <w:pPr>
              <w:spacing w:after="0" w:before="0" w:lineRule="auto" w:line="276"/>
              <w:jc w:val="left"/>
            </w:pPr>
            <w:r>
              <w:rPr>
                <w:rFonts w:ascii="Times New Roman" w:hAnsi="Times New Roman" w:cs="Times New Roman" w:eastAsia="Times New Roman"/>
                <w:b w:val="false"/>
                <w:sz w:val="26"/>
              </w:rPr>
              <w:t>Bộ luật 33/2005/QH11</w:t>
            </w:r>
          </w:p>
        </w:tc>
        <w:tc>
          <w:p/>
          <w:p>
            <w:pPr>
              <w:spacing w:after="0" w:before="0" w:lineRule="auto" w:line="276"/>
              <w:jc w:val="left"/>
            </w:pPr>
            <w:r>
              <w:rPr>
                <w:rFonts w:ascii="Times New Roman" w:hAnsi="Times New Roman" w:cs="Times New Roman" w:eastAsia="Times New Roman"/>
                <w:b w:val="false"/>
                <w:sz w:val="26"/>
              </w:rPr>
              <w:t>14-06-2005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179/2015/TT-BTC</w:t>
            </w:r>
          </w:p>
        </w:tc>
        <w:tc>
          <w:p/>
          <w:p>
            <w:pPr>
              <w:spacing w:after="0" w:before="0" w:lineRule="auto" w:line="276"/>
              <w:jc w:val="left"/>
            </w:pPr>
            <w:r>
              <w:rPr>
                <w:rFonts w:ascii="Times New Roman" w:hAnsi="Times New Roman" w:cs="Times New Roman" w:eastAsia="Times New Roman"/>
                <w:b w:val="false"/>
                <w:sz w:val="26"/>
              </w:rPr>
              <w:t>Thông tư 179/2015/TT-BTC</w:t>
            </w:r>
          </w:p>
        </w:tc>
        <w:tc>
          <w:p/>
          <w:p>
            <w:pPr>
              <w:spacing w:after="0" w:before="0" w:lineRule="auto" w:line="276"/>
              <w:jc w:val="left"/>
            </w:pPr>
            <w:r>
              <w:rPr>
                <w:rFonts w:ascii="Times New Roman" w:hAnsi="Times New Roman" w:cs="Times New Roman" w:eastAsia="Times New Roman"/>
                <w:b w:val="false"/>
                <w:sz w:val="26"/>
              </w:rPr>
              <w:t>13-11-2015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01/2022/TT-BTP</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281/2016/TT-BTC</w:t>
            </w:r>
          </w:p>
        </w:tc>
        <w:tc>
          <w:p/>
          <w:p>
            <w:pPr>
              <w:spacing w:after="0" w:before="0" w:lineRule="auto" w:line="276"/>
              <w:jc w:val="left"/>
            </w:pPr>
            <w:r>
              <w:rPr>
                <w:rFonts w:ascii="Times New Roman" w:hAnsi="Times New Roman" w:cs="Times New Roman" w:eastAsia="Times New Roman"/>
                <w:b w:val="false"/>
                <w:sz w:val="26"/>
              </w:rPr>
              <w:t>Thông tư 281/2016/TT-BTC</w:t>
            </w:r>
          </w:p>
        </w:tc>
        <w:tc>
          <w:p/>
          <w:p>
            <w:pPr>
              <w:spacing w:after="0" w:before="0" w:lineRule="auto" w:line="276"/>
              <w:jc w:val="left"/>
            </w:pPr>
            <w:r>
              <w:rPr>
                <w:rFonts w:ascii="Times New Roman" w:hAnsi="Times New Roman" w:cs="Times New Roman" w:eastAsia="Times New Roman"/>
                <w:b w:val="false"/>
                <w:sz w:val="26"/>
              </w:rPr>
              <w:t>14-11-2016</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2024-03-28T23:37:51Z</dcterms:created>
  <dc:creator>Apache POI</dc:creator>
</cp:coreProperties>
</file>