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1.004873.000.00.00.H32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2677/QĐ-UBND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cấp Giấy xác nhận tình trạng hôn nhân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Hộ tịch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Người có yêu cầu cấp Giấy xác nhận tình trạng hôn nhân nộp hồ sơ tại Ủy ban nhân dân cấp xã có thẩm quyền.</w:t>
      </w:r>
    </w:p>
    <w:p>
      <w:pPr>
        <w:spacing w:after="0" w:before="0" w:lineRule="auto" w:line="276"/>
        <w:jc w:val="both"/>
      </w:pPr>
      <w:r>
        <w:rPr>
          <w:rFonts w:ascii="Times New Roman" w:hAnsi="Times New Roman" w:cs="Times New Roman" w:eastAsia="Times New Roman"/>
          <w:b w:val="false"/>
          <w:sz w:val="26"/>
        </w:rPr>
        <w:t>- Người tiếp nhận có trách nhiệm kiểm tra ngay toàn bộ hồ sơ, đối chiếu thông tin trong Tờ khai và tính hợp lệ của giấy tờ trong hồ sơ do người yêu cầu nộp, xuất trình.</w:t>
      </w:r>
    </w:p>
    <w:p>
      <w:pPr>
        <w:spacing w:after="0" w:before="0" w:lineRule="auto" w:line="276"/>
        <w:jc w:val="both"/>
      </w:pPr>
      <w:r>
        <w:rPr>
          <w:rFonts w:ascii="Times New Roman" w:hAnsi="Times New Roman" w:cs="Times New Roman" w:eastAsia="Times New Roman"/>
          <w:b w:val="false"/>
          <w:sz w:val="26"/>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pPr>
        <w:spacing w:after="0" w:before="0" w:lineRule="auto" w:line="276"/>
        <w:jc w:val="both"/>
      </w:pPr>
      <w:r>
        <w:rPr>
          <w:rFonts w:ascii="Times New Roman" w:hAnsi="Times New Roman" w:cs="Times New Roman" w:eastAsia="Times New Roman"/>
          <w:b w:val="false"/>
          <w:sz w:val="26"/>
        </w:rPr>
        <w:t>-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pPr>
        <w:spacing w:after="0" w:before="0" w:lineRule="auto" w:line="276"/>
        <w:jc w:val="both"/>
      </w:pPr>
      <w:r>
        <w:rPr>
          <w:rFonts w:ascii="Times New Roman" w:hAnsi="Times New Roman" w:cs="Times New Roman" w:eastAsia="Times New Roman"/>
          <w:b w:val="false"/>
          <w:sz w:val="26"/>
        </w:rPr>
        <w:t>- Trong thời hạn 03 ngày làm việc, kể từ ngày nhận đủ hồ sơ hợp lệ, công chức tư pháp - hộ tịch kiểm tra, xác minh tình trạng hôn nhân của người có yêu cầu.</w:t>
      </w:r>
    </w:p>
    <w:p>
      <w:pPr>
        <w:spacing w:after="0" w:before="0" w:lineRule="auto" w:line="276"/>
        <w:jc w:val="both"/>
      </w:pPr>
      <w:r>
        <w:rPr>
          <w:rFonts w:ascii="Times New Roman" w:hAnsi="Times New Roman" w:cs="Times New Roman" w:eastAsia="Times New Roman"/>
          <w:b w:val="false"/>
          <w:sz w:val="26"/>
        </w:rPr>
        <w:t>Trường hợp người yêu cầu xác nhận tình trạng hôn nhân đã từng đăng ký thường trú tại nhiều nơi khác nhau thì người đó có trách nhiệm chứng minh về tình trạng hôn nhân của mình. Trường hợp người yêu cầu không chứng minh được thì công chức tư pháp - hộ tịch báo cáo Chủ tịch Ủy ban nhân dân cấp xã có văn bản đề nghị Ủy ban nhân dân cấp xã nơi người đó đã từng đăng ký thường trú tiến hành kiểm tra, xác minh về tình trạng hôn nhân của người đó.</w:t>
      </w:r>
    </w:p>
    <w:p>
      <w:pPr>
        <w:spacing w:after="0" w:before="0" w:lineRule="auto" w:line="276"/>
        <w:jc w:val="both"/>
      </w:pPr>
      <w:r>
        <w:rPr>
          <w:rFonts w:ascii="Times New Roman" w:hAnsi="Times New Roman" w:cs="Times New Roman" w:eastAsia="Times New Roman"/>
          <w:b w:val="false"/>
          <w:sz w:val="26"/>
        </w:rPr>
        <w:t>Trong thời hạn 03 ngày làm việc, kể từ ngày nhận được văn bản đề nghị, Ủy ban nhân dân cấp xã được yêu cầu, tiến hành kiểm tra, xác minh và trả lời bằng văn bản về tình trạng hôn nhân trong thời gian thường trú tại địa phương của người có yêu cầu.</w:t>
      </w:r>
    </w:p>
    <w:p>
      <w:pPr>
        <w:spacing w:after="0" w:before="0" w:lineRule="auto" w:line="276"/>
        <w:jc w:val="both"/>
      </w:pPr>
      <w:r>
        <w:rPr>
          <w:rFonts w:ascii="Times New Roman" w:hAnsi="Times New Roman" w:cs="Times New Roman" w:eastAsia="Times New Roman"/>
          <w:b w:val="false"/>
          <w:sz w:val="26"/>
        </w:rPr>
        <w:t>- Nếu kết quả kiểm tra, xác minh cho thấy người yêu cầu có đủ điều kiện, việc cấp Giấy xác nhận tình trạng hôn nhân là phù hợp quy định pháp luật thì công chức tư pháp - hộ tịch trình Chủ tịch Ủy ban nhân dân ký cấp 01 bản Giấy xác nhận tình trạng hôn nhân cho người yêu cầu.</w:t>
      </w:r>
    </w:p>
    <w:p>
      <w:pPr>
        <w:shd w:val="clear" w:color="auto" w:fill="F2F6F9"/>
        <w:spacing w:after="0" w:before="120" w:lineRule="auto" w:line="276"/>
        <w:jc w:val="both"/>
      </w:pPr>
      <w:r>
        <w:rPr>
          <w:rFonts w:ascii="Times New Roman" w:hAnsi="Times New Roman" w:cs="Times New Roman" w:eastAsia="Times New Roman"/>
          <w:b w:val="true"/>
          <w:sz w:val="26"/>
        </w:rPr>
        <w:t>* Lưu ý:</w:t>
      </w:r>
    </w:p>
    <w:p>
      <w:pPr>
        <w:spacing w:after="0" w:before="0" w:lineRule="auto" w:line="276"/>
        <w:jc w:val="both"/>
      </w:pPr>
      <w:r>
        <w:rPr>
          <w:rFonts w:ascii="Times New Roman" w:hAnsi="Times New Roman" w:cs="Times New Roman" w:eastAsia="Times New Roman"/>
          <w:b w:val="false"/>
          <w:sz w:val="26"/>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pPr>
        <w:spacing w:after="0" w:before="0" w:lineRule="auto" w:line="276"/>
        <w:jc w:val="both"/>
      </w:pPr>
      <w:r>
        <w:rPr>
          <w:rFonts w:ascii="Times New Roman" w:hAnsi="Times New Roman" w:cs="Times New Roman" w:eastAsia="Times New Roman"/>
          <w:b w:val="false"/>
          <w:sz w:val="26"/>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pPr>
        <w:spacing w:after="0" w:before="0" w:lineRule="auto" w:line="276"/>
        <w:jc w:val="both"/>
      </w:pPr>
      <w:r>
        <w:rPr>
          <w:rFonts w:ascii="Times New Roman" w:hAnsi="Times New Roman" w:cs="Times New Roman" w:eastAsia="Times New Roman"/>
          <w:b w:val="false"/>
          <w:sz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- 03 ngày làm việc;   - Trường hợp phải xác minh thì thời hạn giải quyết không quá 23 ngày. </w:t>
            </w:r>
          </w:p>
        </w:tc>
        <w:tc>
          <w:p/>
          <w:p>
            <w:pPr>
              <w:spacing w:after="0" w:before="0" w:lineRule="auto" w:line="276"/>
              <w:jc w:val="left"/>
            </w:pPr>
            <w:r>
              <w:rPr>
                <w:rFonts w:ascii="Times New Roman" w:hAnsi="Times New Roman" w:cs="Times New Roman" w:eastAsia="Times New Roman"/>
                <w:b w:val="false"/>
                <w:sz w:val="26"/>
              </w:rPr>
              <w:t xml:space="preserve">Lệ phí : +12.000 đồng/trường hợp (nếu thực hiện giao dịch trực tiếp);  +6.000 đồng/trường hợp (nếu thực hiện giao dịch trực tuyến);  +Miễn lệ phí đối với các trường hợp: đăng ký cho người thuộc gia đình có công với cách mạng; người thuộc hộ nghèo; người khuyết tật. </w:t>
              <w:br/>
              <w:t>File đính kèm: 494461 (1).pdf</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- 03 ngày làm việc;   - Trường hợp phải xác minh thì thời hạn giải quyết không quá 23 ngày. </w:t>
            </w:r>
          </w:p>
        </w:tc>
        <w:tc>
          <w:p/>
          <w:p>
            <w:pPr>
              <w:spacing w:after="0" w:before="0" w:lineRule="auto" w:line="276"/>
              <w:jc w:val="left"/>
            </w:pPr>
            <w:r>
              <w:rPr>
                <w:rFonts w:ascii="Times New Roman" w:hAnsi="Times New Roman" w:cs="Times New Roman" w:eastAsia="Times New Roman"/>
                <w:b w:val="false"/>
                <w:sz w:val="26"/>
              </w:rPr>
              <w:t xml:space="preserve">Lệ phí : +12.000 đồng/trường hợp (nếu thực hiện giao dịch trực tiếp);  +6.000 đồng/trường hợp (nếu thực hiện giao dịch trực tuyến);  +Miễn lệ phí đối với các trường hợp: đăng ký cho người thuộc gia đình có công với cách mạng; người thuộc hộ nghèo; người khuyết tật. </w:t>
              <w:br/>
              <w:t>File đính kèm: 494461 (1).pdf</w:t>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- 03 ngày làm việc;   - Trường hợp phải xác minh thì thời hạn giải quyết không quá 23 ngày. </w:t>
            </w:r>
          </w:p>
        </w:tc>
        <w:tc>
          <w:p/>
          <w:p>
            <w:pPr>
              <w:spacing w:after="0" w:before="0" w:lineRule="auto" w:line="276"/>
              <w:jc w:val="left"/>
            </w:pPr>
            <w:r>
              <w:rPr>
                <w:rFonts w:ascii="Times New Roman" w:hAnsi="Times New Roman" w:cs="Times New Roman" w:eastAsia="Times New Roman"/>
                <w:b w:val="false"/>
                <w:sz w:val="26"/>
              </w:rPr>
              <w:t xml:space="preserve">Lệ phí : +12.000 đồng/trường hợp (nếu thực hiện giao dịch trực tiếp);  +6.000 đồng/trường hợp (nếu thực hiện giao dịch trực tuyến);  +Miễn lệ phí đối với các trường hợp: đăng ký cho người thuộc gia đình có công với cách mạng; người thuộc hộ nghèo; người khuyết tật. </w:t>
              <w:br/>
              <w:t>File đính kèm: 494461 (1).pdf</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Giấy tờ phải nộp:</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Công dân Việt Nam đã ly hôn, hủy việc kết hôn ở nước ngoài thì phải nộp bản sao Trích lục ghi chú ly hôn.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Trường hợp cá nhân yêu cầu cấp lại Giấy xác nhận tình trạng hôn nhân để sử dụng vào mục đích khác hoặc do Giấy xác nhận tình trạng hôn nhân đã hết thời hạn sử dụng theo quy định thì phải nộp lại Giấy xác nhận tình trạng hôn nhân đã được cấp trước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Văn bản ủy quyền theo quy định của pháp luật trong trường hợp ủy quyền thực hiện việc cấp Giấy xác nhận tình trạng hôn nhân. Trường hợp người được ủy quyền là ông, bà, cha, mẹ, con, vợ, chồng, anh, chị, em ruột của người ủy quyền thì văn bản ủy quyền không phải chứng thực.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Giấy tờ phải xuất trình: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Giấy xác nhận tình trạng hôn nhân. Trường hợp các thông tin cá nhân trong các giấy tờ này đã có trong CSDLQGVDC, CSDLHTĐT, được hệ thống điền tự động thì không phải tải lên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gửi hồ sơ qua hệ thống bưu chính thì phải gửi kèm theo bản sao có chứng thực các giấy tờ phải xuất trình nêu trên.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Lưu ý:</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Trường hợp yêu cầu cấp Giấy xác nhận tình trạng hôn nhân để sử dụng vào mục đích kết hôn thì công chức tư pháp - hộ tịch trình Lãnh đạo UBND ký cấp 01 bản Giấy xác nhận tình trạng hôn nhân để sử dụng vào mục đích kết hôn cho người yêu cầu.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yêu cầu cấp Giấy xác nhận tình trạng hôn nhân để sử dụng vào mục đích khác, không phải để đăng ký kết hôn thì trong Giấy xác nhận tình trạng hôn nhân phải ghi rõ mục đích sử dụng, số lượng Giấy xác nhận tình trạng hôn nhân được cấp theo yêu cầu.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yêu cầu cấp Giấy xác nhận tình trạng hôn nhân để kết hôn với người cùng giới tính hoặc kết hôn với người nước ngoài tại Cơ quan đại diện nước ngoài tại Việt Nam thì cơ quan đăng ký hộ tịch từ chối giải quyết.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Đối với giấy tờ nộp, xuất trình nếu người yêu cầu nộp hồ sơ theo hình thức trực tiếp: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yêu cầu đăng ký hộ tịch có thể nộp bản sao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Đối với giấy tờ gửi kèm theo nếu người yêu cầu nộp hồ sơ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chụp các giấy tờ gửi kèm theo hồ sơ cấp Giấy xác nhận tình trạng hôn nhân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giấy tờ, tài liệu phải gửi kèm trong hồ sơ cấp Giấy xác nhận tình trạng hôn nhân trực tuyến đã có bản sao điện tử hoặc đã có bản điện tử giấy tờ hộ tịch thì người yêu cầu được sử dụng bản điện tử này.</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Khi đến cơ quan đăng ký hộ tịch nhận kết quả, người có yêu cầu cấp Giấy xác nhận tình trạng hôn nhân xuất trình giấy tờ tuỳ thân, nộp các giấy tờ là thành phần hồ sơ cấp Giấy xác nhận tình trạng hôn nhân theo quy định pháp luật hộ tịch.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người yêu cầu cấp Giấy xác nhận tình trạng hôn nhân không cung cấp được giấy tờ nêu trên theo quy định hoặc giấy tờ nộp, xuất trình bị tẩy xóa, sửa chữa, làm giả thì cơ quan đăng ký hộ tịch có thẩm quyền hủy bỏ kết quả xác nhận tình trạng hôn nhân.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Cơ quan đăng ký hộ tịch từ chối giải quyết hoặc đề nghị cơ quan có thẩm quyền hủy bỏ kết quả đăng ký hộ tịch, nếu có cơ sở xác định nội dung cam đoan không đúng sự thật.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Tờ khai cấp Giấy xác nhận tình trạng hôn nhân (nếu người có yêu cầu lựa chọn nộp hồ sơ theo hình thức trực tiếp);</w:t>
            </w:r>
          </w:p>
        </w:tc>
        <w:tc>
          <w:p/>
          <w:p>
            <w:pPr>
              <w:spacing w:after="0" w:before="0" w:lineRule="auto" w:line="276"/>
              <w:jc w:val="left"/>
            </w:pPr>
            <w:r>
              <w:rPr>
                <w:rFonts w:ascii="Times New Roman" w:hAnsi="Times New Roman" w:cs="Times New Roman" w:eastAsia="Times New Roman"/>
                <w:b w:val="false"/>
                <w:sz w:val="26"/>
              </w:rPr>
              <w:t>19. TK cấp Giấy XNTTHN.doc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Mẫu điện tử tương tác cấp Giấy xác nhận tình trạng hôn nhân (do người yêu cầu cung cấp thông tin theo hướng dẫn trên Cổng dịch vụ công nếu người có yêu cầu lựa chọn nộp hồ sơ theo hình thức trực tuyến)</w:t>
            </w:r>
          </w:p>
        </w:tc>
        <w:tc>
          <w:p/>
          <w:p>
            <w:pPr>
              <w:spacing w:after="0" w:before="0" w:lineRule="auto" w:line="276"/>
              <w:jc w:val="left"/>
            </w:pPr>
            <w:r>
              <w:rPr>
                <w:rFonts w:ascii="Times New Roman" w:hAnsi="Times New Roman" w:cs="Times New Roman" w:eastAsia="Times New Roman"/>
                <w:b w:val="false"/>
                <w:sz w:val="26"/>
              </w:rPr>
              <w:t>19 cấp giấy xác nhạn tình trạng hôn nhân.docx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có yêu cầu cấp Giấy xác nhận tình trạng hôn nhân thực hiện việc nộp/xuất trình (theo hình thức trực tiếp) hoặc tải lên (theo hình thức trực tuyến) các giấy tờ sau: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 UBND cấp xã-tỉnh Khánh Hòa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xã, UBND cấp xã-tỉnh Khánh Hòa</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Nộp hồ sơ tại Bộ phận tiếp nhận và trả kết quả của UBND cấp xã nơi thường trú. - Trường hợp người yêu cầu cấp Giấy xác nhận tình trạng hôn nhân không có nơi thường trú nhưng có đăng ký tạm trú theo quy định của pháp luật về cư trú thì nộp hồ sơ tại Bộ phận tiếp nhận và trả kết quả của UBND cấp xã nơi tạm trú.</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xác nhận tình trạng hôn nhân, Bản điện tử Giấy xác nhận tình trạng hôn nhân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60/2014/QH13</w:t>
            </w:r>
          </w:p>
        </w:tc>
        <w:tc>
          <w:p/>
          <w:p>
            <w:pPr>
              <w:spacing w:after="0" w:before="0" w:lineRule="auto" w:line="276"/>
              <w:jc w:val="left"/>
            </w:pPr>
            <w:r>
              <w:rPr>
                <w:rFonts w:ascii="Times New Roman" w:hAnsi="Times New Roman" w:cs="Times New Roman" w:eastAsia="Times New Roman"/>
                <w:b w:val="false"/>
                <w:sz w:val="26"/>
              </w:rPr>
              <w:t>Luật 60/2014/QH13</w:t>
            </w:r>
          </w:p>
        </w:tc>
        <w:tc>
          <w:p/>
          <w:p>
            <w:pPr>
              <w:spacing w:after="0" w:before="0" w:lineRule="auto" w:line="276"/>
              <w:jc w:val="left"/>
            </w:pPr>
            <w:r>
              <w:rPr>
                <w:rFonts w:ascii="Times New Roman" w:hAnsi="Times New Roman" w:cs="Times New Roman" w:eastAsia="Times New Roman"/>
                <w:b w:val="false"/>
                <w:sz w:val="26"/>
              </w:rPr>
              <w:t>20-11-2014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123/2015/NĐ-CP</w:t>
            </w:r>
          </w:p>
        </w:tc>
        <w:tc>
          <w:p/>
          <w:p>
            <w:pPr>
              <w:spacing w:after="0" w:before="0" w:lineRule="auto" w:line="276"/>
              <w:jc w:val="left"/>
            </w:pPr>
            <w:r>
              <w:rPr>
                <w:rFonts w:ascii="Times New Roman" w:hAnsi="Times New Roman" w:cs="Times New Roman" w:eastAsia="Times New Roman"/>
                <w:b w:val="false"/>
                <w:sz w:val="26"/>
              </w:rPr>
              <w:t>Nghị định 123/2015/NĐ-CP</w:t>
            </w:r>
          </w:p>
        </w:tc>
        <w:tc>
          <w:p/>
          <w:p>
            <w:pPr>
              <w:spacing w:after="0" w:before="0" w:lineRule="auto" w:line="276"/>
              <w:jc w:val="left"/>
            </w:pPr>
            <w:r>
              <w:rPr>
                <w:rFonts w:ascii="Times New Roman" w:hAnsi="Times New Roman" w:cs="Times New Roman" w:eastAsia="Times New Roman"/>
                <w:b w:val="false"/>
                <w:sz w:val="26"/>
              </w:rPr>
              <w:t>15-11-2015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 xml:space="preserve">Thông tư số 281/2016/TT-BTC </w:t>
            </w:r>
          </w:p>
        </w:tc>
        <w:tc>
          <w:p/>
          <w:p>
            <w:pPr>
              <w:spacing w:after="0" w:before="0" w:lineRule="auto" w:line="276"/>
              <w:jc w:val="left"/>
            </w:pPr>
            <w:r>
              <w:rPr>
                <w:rFonts w:ascii="Times New Roman" w:hAnsi="Times New Roman" w:cs="Times New Roman" w:eastAsia="Times New Roman"/>
                <w:b w:val="false"/>
                <w:sz w:val="26"/>
              </w:rPr>
              <w:t>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c>
          <w:p/>
          <w:p>
            <w:pPr>
              <w:spacing w:after="0" w:before="0" w:lineRule="auto" w:line="276"/>
              <w:jc w:val="left"/>
            </w:pPr>
            <w:r>
              <w:rPr>
                <w:rFonts w:ascii="Times New Roman" w:hAnsi="Times New Roman" w:cs="Times New Roman" w:eastAsia="Times New Roman"/>
                <w:b w:val="false"/>
                <w:sz w:val="26"/>
              </w:rPr>
              <w:t>14-11-2016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04/2020/TT-BTP</w:t>
            </w:r>
          </w:p>
        </w:tc>
        <w:tc>
          <w:p/>
          <w:p>
            <w:pPr>
              <w:spacing w:after="0" w:before="0" w:lineRule="auto" w:line="276"/>
              <w:jc w:val="left"/>
            </w:pPr>
            <w:r>
              <w:rPr>
                <w:rFonts w:ascii="Times New Roman" w:hAnsi="Times New Roman" w:cs="Times New Roman" w:eastAsia="Times New Roman"/>
                <w:b w:val="false"/>
                <w:sz w:val="26"/>
              </w:rPr>
              <w:t>Thông tư 04/2020/TT-BTP hướng dẫn thi hành Luật Hộ tịch và Nghị định 123/2015/NĐ-CP</w:t>
            </w:r>
          </w:p>
        </w:tc>
        <w:tc>
          <w:p/>
          <w:p>
            <w:pPr>
              <w:spacing w:after="0" w:before="0" w:lineRule="auto" w:line="276"/>
              <w:jc w:val="left"/>
            </w:pPr>
            <w:r>
              <w:rPr>
                <w:rFonts w:ascii="Times New Roman" w:hAnsi="Times New Roman" w:cs="Times New Roman" w:eastAsia="Times New Roman"/>
                <w:b w:val="false"/>
                <w:sz w:val="26"/>
              </w:rPr>
              <w:t>28-05-2020</w:t>
            </w:r>
          </w:p>
        </w:tc>
        <w:tc>
          <w:p/>
        </w:tc>
      </w:tr>
      <w:tr>
        <w:tc>
          <w:p/>
          <w:p>
            <w:pPr>
              <w:spacing w:after="0" w:before="0" w:lineRule="auto" w:line="276"/>
              <w:jc w:val="left"/>
            </w:pPr>
            <w:r>
              <w:rPr>
                <w:rFonts w:ascii="Times New Roman" w:hAnsi="Times New Roman" w:cs="Times New Roman" w:eastAsia="Times New Roman"/>
                <w:b w:val="false"/>
                <w:sz w:val="26"/>
              </w:rPr>
              <w:t>85/2019/TT-BTC</w:t>
            </w:r>
          </w:p>
        </w:tc>
        <w:tc>
          <w:p/>
          <w:p>
            <w:pPr>
              <w:spacing w:after="0" w:before="0" w:lineRule="auto" w:line="276"/>
              <w:jc w:val="left"/>
            </w:pPr>
            <w:r>
              <w:rPr>
                <w:rFonts w:ascii="Times New Roman" w:hAnsi="Times New Roman" w:cs="Times New Roman" w:eastAsia="Times New Roman"/>
                <w:b w:val="false"/>
                <w:sz w:val="26"/>
              </w:rPr>
              <w:t>Thông tư số 85/2019/TT-BTC ngày 29 tháng 11 năm 2019 của Bộ trưởng Bộ Tài chính hướng dẫn về phí và lệ phí thuộc thẩm quyền quyết định của HĐND tỉnh, thành phố trực thuộc Trung ương (được sửa đổi bổ sung tại Thông tư số 106/2021/TT-BTC ngày 26 tháng 11 năm 2021 và Thông tư số 75/2022/TT-BTC ngày 22 tháng 12 năm 2022 của Bộ trưởng Bộ Tài chính)</w:t>
            </w:r>
          </w:p>
        </w:tc>
        <w:tc>
          <w:p/>
          <w:p>
            <w:pPr>
              <w:spacing w:after="0" w:before="0" w:lineRule="auto" w:line="276"/>
              <w:jc w:val="left"/>
            </w:pPr>
            <w:r>
              <w:rPr>
                <w:rFonts w:ascii="Times New Roman" w:hAnsi="Times New Roman" w:cs="Times New Roman" w:eastAsia="Times New Roman"/>
                <w:b w:val="false"/>
                <w:sz w:val="26"/>
              </w:rPr>
              <w:t>29-11-2019</w:t>
            </w:r>
          </w:p>
        </w:tc>
        <w:tc>
          <w:p/>
        </w:tc>
      </w:tr>
      <w:tr>
        <w:tc>
          <w:p/>
          <w:p>
            <w:pPr>
              <w:spacing w:after="0" w:before="0" w:lineRule="auto" w:line="276"/>
              <w:jc w:val="left"/>
            </w:pPr>
            <w:r>
              <w:rPr>
                <w:rFonts w:ascii="Times New Roman" w:hAnsi="Times New Roman" w:cs="Times New Roman" w:eastAsia="Times New Roman"/>
                <w:b w:val="false"/>
                <w:sz w:val="26"/>
              </w:rPr>
              <w:t>01/2022/TT-BTP</w:t>
            </w:r>
          </w:p>
        </w:tc>
        <w:tc>
          <w:p/>
          <w:p>
            <w:pPr>
              <w:spacing w:after="0" w:before="0" w:lineRule="auto" w:line="276"/>
              <w:jc w:val="left"/>
            </w:pPr>
            <w:r>
              <w:rPr>
                <w:rFonts w:ascii="Times New Roman" w:hAnsi="Times New Roman" w:cs="Times New Roman" w:eastAsia="Times New Roman"/>
                <w:b w:val="false"/>
                <w:sz w:val="26"/>
              </w:rPr>
              <w:t>Thông tư sửa đổi</w:t>
            </w:r>
          </w:p>
        </w:tc>
        <w:tc>
          <w:p/>
          <w:p>
            <w:pPr>
              <w:spacing w:after="0" w:before="0" w:lineRule="auto" w:line="276"/>
              <w:jc w:val="left"/>
            </w:pPr>
            <w:r>
              <w:rPr>
                <w:rFonts w:ascii="Times New Roman" w:hAnsi="Times New Roman" w:cs="Times New Roman" w:eastAsia="Times New Roman"/>
                <w:b w:val="false"/>
                <w:sz w:val="26"/>
              </w:rPr>
              <w:t>04-01-2022</w:t>
            </w:r>
          </w:p>
        </w:tc>
        <w:tc>
          <w:p/>
        </w:tc>
      </w:tr>
      <w:tr>
        <w:tc>
          <w:p/>
          <w:p>
            <w:pPr>
              <w:spacing w:after="0" w:before="0" w:lineRule="auto" w:line="276"/>
              <w:jc w:val="left"/>
            </w:pPr>
            <w:r>
              <w:rPr>
                <w:rFonts w:ascii="Times New Roman" w:hAnsi="Times New Roman" w:cs="Times New Roman" w:eastAsia="Times New Roman"/>
                <w:b w:val="false"/>
                <w:sz w:val="26"/>
              </w:rPr>
              <w:t>87/2020/NĐ-CP</w:t>
            </w:r>
          </w:p>
        </w:tc>
        <w:tc>
          <w:p/>
          <w:p>
            <w:pPr>
              <w:spacing w:after="0" w:before="0" w:lineRule="auto" w:line="276"/>
              <w:jc w:val="left"/>
            </w:pPr>
            <w:r>
              <w:rPr>
                <w:rFonts w:ascii="Times New Roman" w:hAnsi="Times New Roman" w:cs="Times New Roman" w:eastAsia="Times New Roman"/>
                <w:b w:val="false"/>
                <w:sz w:val="26"/>
              </w:rPr>
              <w:t>Nghị định 87/2020/NĐ-CP quy định về cơ sở dữ liệu hộ tịch điện tử, đăng ký hộ tịch trực tuyến</w:t>
            </w:r>
          </w:p>
        </w:tc>
        <w:tc>
          <w:p/>
          <w:p>
            <w:pPr>
              <w:spacing w:after="0" w:before="0" w:lineRule="auto" w:line="276"/>
              <w:jc w:val="left"/>
            </w:pPr>
            <w:r>
              <w:rPr>
                <w:rFonts w:ascii="Times New Roman" w:hAnsi="Times New Roman" w:cs="Times New Roman" w:eastAsia="Times New Roman"/>
                <w:b w:val="false"/>
                <w:sz w:val="26"/>
              </w:rPr>
              <w:t>28-07-2020</w:t>
            </w:r>
          </w:p>
        </w:tc>
        <w:tc>
          <w:p/>
        </w:tc>
      </w:tr>
      <w:tr>
        <w:tc>
          <w:p/>
          <w:p>
            <w:pPr>
              <w:spacing w:after="0" w:before="0" w:lineRule="auto" w:line="276"/>
              <w:jc w:val="left"/>
            </w:pPr>
            <w:r>
              <w:rPr>
                <w:rFonts w:ascii="Times New Roman" w:hAnsi="Times New Roman" w:cs="Times New Roman" w:eastAsia="Times New Roman"/>
                <w:b w:val="false"/>
                <w:sz w:val="26"/>
              </w:rPr>
              <w:t>12/2021/NQ-HĐND</w:t>
            </w:r>
          </w:p>
        </w:tc>
        <w:tc>
          <w:p/>
          <w:p>
            <w:pPr>
              <w:spacing w:after="0" w:before="0" w:lineRule="auto" w:line="276"/>
              <w:jc w:val="left"/>
            </w:pPr>
            <w:r>
              <w:rPr>
                <w:rFonts w:ascii="Times New Roman" w:hAnsi="Times New Roman" w:cs="Times New Roman" w:eastAsia="Times New Roman"/>
                <w:b w:val="false"/>
                <w:sz w:val="26"/>
              </w:rPr>
              <w:t>Nghị quyết số 12/2021/NQ-HĐND ngày 19/10/2021 của Hội đồng nhân dân tỉnh Khánh Hòa về việc quy định mức thu, nộp, quản lý và sử dụng lệ phí hộ tịch, lệ phí đăng ký cư trú trên địa bàn tỉnh Khánh Hòa.</w:t>
            </w:r>
          </w:p>
        </w:tc>
        <w:tc>
          <w:p/>
          <w:p>
            <w:pPr>
              <w:spacing w:after="0" w:before="0" w:lineRule="auto" w:line="276"/>
              <w:jc w:val="left"/>
            </w:pPr>
            <w:r>
              <w:rPr>
                <w:rFonts w:ascii="Times New Roman" w:hAnsi="Times New Roman" w:cs="Times New Roman" w:eastAsia="Times New Roman"/>
                <w:b w:val="false"/>
                <w:sz w:val="26"/>
              </w:rPr>
              <w:t>19-10-2021</w:t>
            </w:r>
          </w:p>
        </w:tc>
        <w:tc>
          <w:p/>
        </w:tc>
      </w:tr>
      <w:tr>
        <w:tc>
          <w:p/>
          <w:p>
            <w:pPr>
              <w:spacing w:after="0" w:before="0" w:lineRule="auto" w:line="276"/>
              <w:jc w:val="left"/>
            </w:pPr>
            <w:r>
              <w:rPr>
                <w:rFonts w:ascii="Times New Roman" w:hAnsi="Times New Roman" w:cs="Times New Roman" w:eastAsia="Times New Roman"/>
                <w:b w:val="false"/>
                <w:sz w:val="26"/>
              </w:rPr>
              <w:t>106/2021/TT-BTC</w:t>
            </w:r>
          </w:p>
        </w:tc>
        <w:tc>
          <w:p/>
          <w:p>
            <w:pPr>
              <w:spacing w:after="0" w:before="0" w:lineRule="auto" w:line="276"/>
              <w:jc w:val="left"/>
            </w:pPr>
            <w:r>
              <w:rPr>
                <w:rFonts w:ascii="Times New Roman" w:hAnsi="Times New Roman" w:cs="Times New Roman" w:eastAsia="Times New Roman"/>
                <w:b w:val="false"/>
                <w:sz w:val="26"/>
              </w:rPr>
              <w:t>Thông tư 106/2021/TT-BTC sửa đổi, bổ sung một số điều của Thông tư số 85/2019/TT-BTC hướng dẫn về phí, lệ phí thuộc thẩm quyền quyết định của HĐND tỉnh, thành phố trực thuộc Trung ương</w:t>
            </w:r>
          </w:p>
        </w:tc>
        <w:tc>
          <w:p/>
          <w:p>
            <w:pPr>
              <w:spacing w:after="0" w:before="0" w:lineRule="auto" w:line="276"/>
              <w:jc w:val="left"/>
            </w:pPr>
            <w:r>
              <w:rPr>
                <w:rFonts w:ascii="Times New Roman" w:hAnsi="Times New Roman" w:cs="Times New Roman" w:eastAsia="Times New Roman"/>
                <w:b w:val="false"/>
                <w:sz w:val="26"/>
              </w:rPr>
              <w:t>26-11-2021</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Trường hợp yêu cầu xác nhận tình trạng hôn nhân nhằm mục đích kết hôn thì người yêu cầu phải đáp ứng đủ điều kiện kết hôn:
- Nam từ đủ 20 tuổi trở lên, nữ từ đủ 18 tuổi trở lên;
- Việc kết hôn do nam và nữ tự nguyện quyết định;
- Không bị mất năng lực hành vi dân sự;
- Việc kết hôn không thuộc một trong các trường hợp cấm kết hôn, gồm:
+ Kết hôn giả tạo, ly hôn giả tạo;
+ Tảo hôn, cưỡng ép kết hôn, lừa dối kết hôn, cản trở kết hôn;
+ Người đang có vợ, có chồng mà kết hôn với người khác hoặc chưa có vợ, chưa có chồng mà kết hôn với người đang có chồng, có vợ;
+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
- Nhà nước không thừa nhận hôn nhân giữa những người cùng giới tính.
Trường hợp yêu cầu cấp Giấy xác nhận tình trạng hôn nhân để sử dụng vào mục đích khác, không phải để đăng ký kết hôn, thì người yêu cầu không phải đáp ứng điều kiện kết hôn.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2024-03-29T11:05:03Z</dcterms:created>
  <dc:creator>Apache POI</dc:creator>
</cp:coreProperties>
</file>