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1.004949.000.00.00.H18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26/QĐ-UBND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Phê duyệt quỹ tiền lương, thù lao thực hiện, quỹ tiền thưởng thực hiện năm trước và quỹ tiền lương, thù lao kế hoạch đối với người quản lý công ty trách nhiệm hữu hạn một thành viên do Ủy ban nhân dân tỉnh, thành phố làm chủ sở hữu</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Lao động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Quý I hàng năm, Hội đồng thành viên hoặc Chủ tịch công ty xác định quỹ tiền lương, thù lao thực hiện, quỹ tiền thưởng năm trước và quỹ tiền lương, thù lao kế hoạch của người quản lý để báo cáo cơ quan đại diện chủ sở hữu phê duyệt;</w:t>
      </w:r>
    </w:p>
    <w:p>
      <w:pPr>
        <w:spacing w:after="0" w:before="0" w:lineRule="auto" w:line="276"/>
        <w:jc w:val="both"/>
      </w:pPr>
      <w:r>
        <w:rPr>
          <w:rFonts w:ascii="Times New Roman" w:hAnsi="Times New Roman" w:cs="Times New Roman" w:eastAsia="Times New Roman"/>
          <w:b w:val="false"/>
          <w:sz w:val="26"/>
        </w:rPr>
        <w:t>Bước 2: Ủy ban nhân dân tỉnh, thành phố được phân công, phân cấp thực hiện các quyền và nghĩa vụ của chủ sở hữu đối với công ty tiếp nhận, phê duyệt quỹ tiền lương, thù lao, quỹ tiền thưởng thực hiện năm trước và quỹ tiền lương, thù lao kế hoạch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Quý I hằng năm </w:t>
            </w:r>
          </w:p>
        </w:tc>
        <w:tc>
          <w:p/>
          <w:p>
            <w:pPr>
              <w:spacing w:after="0" w:before="0" w:lineRule="auto" w:line="276"/>
              <w:jc w:val="left"/>
            </w:pPr>
            <w:r>
              <w:rPr>
                <w:rFonts w:ascii="Times New Roman" w:hAnsi="Times New Roman" w:cs="Times New Roman" w:eastAsia="Times New Roman"/>
                <w:b w:val="false"/>
                <w:sz w:val="26"/>
              </w:rPr>
            </w:r>
          </w:p>
        </w:tc>
        <w:tc>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Quý I hằng năm </w:t>
            </w:r>
          </w:p>
        </w:tc>
        <w:tc>
          <w:p/>
          <w:p>
            <w:pPr>
              <w:spacing w:after="0" w:before="0" w:lineRule="auto" w:line="276"/>
              <w:jc w:val="left"/>
            </w:pPr>
            <w:r>
              <w:rPr>
                <w:rFonts w:ascii="Times New Roman" w:hAnsi="Times New Roman" w:cs="Times New Roman" w:eastAsia="Times New Roman"/>
                <w:b w:val="false"/>
                <w:sz w:val="26"/>
              </w:rPr>
            </w:r>
          </w:p>
        </w:tc>
        <w:tc>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Quý I hằng năm </w:t>
            </w:r>
          </w:p>
        </w:tc>
        <w:tc>
          <w:p/>
          <w:p>
            <w:pPr>
              <w:spacing w:after="0" w:before="0" w:lineRule="auto" w:line="276"/>
              <w:jc w:val="left"/>
            </w:pPr>
            <w:r>
              <w:rPr>
                <w:rFonts w:ascii="Times New Roman" w:hAnsi="Times New Roman" w:cs="Times New Roman" w:eastAsia="Times New Roman"/>
                <w:b w:val="false"/>
                <w:sz w:val="26"/>
              </w:rPr>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các báo cáo theo biểu mẫu số 1, 2, 3 và 4 ban hành kèm theo Thông tư số 27/2016/TT-BLĐTBXH ngày 01/9/2016 của Bộ Lao động - Thương binh và Xã hội.</w:t>
            </w:r>
          </w:p>
        </w:tc>
        <w:tc>
          <w:p/>
          <w:p>
            <w:pPr>
              <w:spacing w:after="0" w:before="0" w:lineRule="auto" w:line="276"/>
              <w:jc w:val="left"/>
            </w:pPr>
            <w:r>
              <w:rPr>
                <w:rFonts w:ascii="Times New Roman" w:hAnsi="Times New Roman" w:cs="Times New Roman" w:eastAsia="Times New Roman"/>
                <w:b w:val="false"/>
                <w:sz w:val="26"/>
              </w:rPr>
              <w:t>Biểu mẫu số 1 - TT 27.docx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các báo cáo theo biểu mẫu số 1, 2, 3 và 4 ban hành kèm theo Thông tư số 27/2016/TT-BLĐTBXH ngày 01/9/2016 của Bộ Lao động - Thương binh và Xã hội.</w:t>
            </w:r>
          </w:p>
        </w:tc>
        <w:tc>
          <w:p/>
          <w:p>
            <w:pPr>
              <w:spacing w:after="0" w:before="0" w:lineRule="auto" w:line="276"/>
              <w:jc w:val="left"/>
            </w:pPr>
            <w:r>
              <w:rPr>
                <w:rFonts w:ascii="Times New Roman" w:hAnsi="Times New Roman" w:cs="Times New Roman" w:eastAsia="Times New Roman"/>
                <w:b w:val="false"/>
                <w:sz w:val="26"/>
              </w:rPr>
              <w:t>Biểu mẫu số 2 - TT 27.docx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các báo cáo theo biểu mẫu số 1, 2, 3 và 4 ban hành kèm theo Thông tư số 27/2016/TT-BLĐTBXH ngày 01/9/2016 của Bộ Lao động - Thương binh và Xã hội.</w:t>
            </w:r>
          </w:p>
        </w:tc>
        <w:tc>
          <w:p/>
          <w:p>
            <w:pPr>
              <w:spacing w:after="0" w:before="0" w:lineRule="auto" w:line="276"/>
              <w:jc w:val="left"/>
            </w:pPr>
            <w:r>
              <w:rPr>
                <w:rFonts w:ascii="Times New Roman" w:hAnsi="Times New Roman" w:cs="Times New Roman" w:eastAsia="Times New Roman"/>
                <w:b w:val="false"/>
                <w:sz w:val="26"/>
              </w:rPr>
              <w:t>Biểu mẫu số 3 - TT 27.docx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các báo cáo theo biểu mẫu số 1, 2, 3 và 4 ban hành kèm theo Thông tư số 27/2016/TT-BLĐTBXH ngày 01/9/2016 của Bộ Lao động - Thương binh và Xã hội.</w:t>
            </w:r>
          </w:p>
        </w:tc>
        <w:tc>
          <w:p/>
          <w:p>
            <w:pPr>
              <w:spacing w:after="0" w:before="0" w:lineRule="auto" w:line="276"/>
              <w:jc w:val="left"/>
            </w:pPr>
            <w:r>
              <w:rPr>
                <w:rFonts w:ascii="Times New Roman" w:hAnsi="Times New Roman" w:cs="Times New Roman" w:eastAsia="Times New Roman"/>
                <w:b w:val="false"/>
                <w:sz w:val="26"/>
              </w:rPr>
              <w:t>Biểu mẫu số 4 - TT 27.docx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Doanh nghiệp</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Lao động - Thương binh và Xã hội - tỉnh Điện Biên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tỉnh và thành phố trực thuộc trung ương.</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Sở Lao động - Thương binh và Xã hội tỉnh Điện Biên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Công văn phê duyệt quỹ tiền lương, thù lao, quỹ tiền thưởng thực hiện năm trước, quỹ tiền lương, thù lao kế hoạch của người quản lý</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52/2016/NĐ-CP</w:t>
            </w:r>
          </w:p>
        </w:tc>
        <w:tc>
          <w:p/>
          <w:p>
            <w:pPr>
              <w:spacing w:after="0" w:before="0" w:lineRule="auto" w:line="276"/>
              <w:jc w:val="left"/>
            </w:pPr>
            <w:r>
              <w:rPr>
                <w:rFonts w:ascii="Times New Roman" w:hAnsi="Times New Roman" w:cs="Times New Roman" w:eastAsia="Times New Roman"/>
                <w:b w:val="false"/>
                <w:sz w:val="26"/>
              </w:rPr>
              <w:t>Nghị định 52/2016/NĐ-CP - Quy định tiền lương, thù lao, tiền thưởng đối với người quản lý công ty trách nhiệm hữu hạn một thành viên do Nhà nước nắm giữ 100% vốn điều lệ</w:t>
            </w:r>
          </w:p>
        </w:tc>
        <w:tc>
          <w:p/>
          <w:p>
            <w:pPr>
              <w:spacing w:after="0" w:before="0" w:lineRule="auto" w:line="276"/>
              <w:jc w:val="left"/>
            </w:pPr>
            <w:r>
              <w:rPr>
                <w:rFonts w:ascii="Times New Roman" w:hAnsi="Times New Roman" w:cs="Times New Roman" w:eastAsia="Times New Roman"/>
                <w:b w:val="false"/>
                <w:sz w:val="26"/>
              </w:rPr>
              <w:t>13-06-2016</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27/2016/TT-BLĐTBXH</w:t>
            </w:r>
          </w:p>
        </w:tc>
        <w:tc>
          <w:p/>
          <w:p>
            <w:pPr>
              <w:spacing w:after="0" w:before="0" w:lineRule="auto" w:line="276"/>
              <w:jc w:val="left"/>
            </w:pPr>
            <w:r>
              <w:rPr>
                <w:rFonts w:ascii="Times New Roman" w:hAnsi="Times New Roman" w:cs="Times New Roman" w:eastAsia="Times New Roman"/>
                <w:b w:val="false"/>
                <w:sz w:val="26"/>
              </w:rPr>
              <w:t>Thông tư 27/2016/TT-BLĐTBXH - Hướng dẫn thực hiện chế độ tiền lương, thù lao, tiền thưởng đối với người quản lý công ty trách nhiệm hữu hạn một thành viên do Nhà nước nắm giữ 100% vốn điều lệ</w:t>
            </w:r>
          </w:p>
        </w:tc>
        <w:tc>
          <w:p/>
          <w:p>
            <w:pPr>
              <w:spacing w:after="0" w:before="0" w:lineRule="auto" w:line="276"/>
              <w:jc w:val="left"/>
            </w:pPr>
            <w:r>
              <w:rPr>
                <w:rFonts w:ascii="Times New Roman" w:hAnsi="Times New Roman" w:cs="Times New Roman" w:eastAsia="Times New Roman"/>
                <w:b w:val="false"/>
                <w:sz w:val="26"/>
              </w:rPr>
              <w:t>01-09-2016</w:t>
            </w:r>
          </w:p>
        </w:tc>
        <w:tc>
          <w:p/>
          <w:p>
            <w:pPr>
              <w:spacing w:after="0" w:before="0" w:lineRule="auto" w:line="276"/>
              <w:jc w:val="left"/>
            </w:pPr>
            <w:r>
              <w:rPr>
                <w:rFonts w:ascii="Times New Roman" w:hAnsi="Times New Roman" w:cs="Times New Roman" w:eastAsia="Times New Roman"/>
                <w:b w:val="false"/>
                <w:sz w:val="26"/>
              </w:rPr>
              <w:t>Bộ Lao động - Thương binh và Xã hội</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2024-03-29T07:03:10Z</dcterms:created>
  <dc:creator>Apache POI</dc:creator>
</cp:coreProperties>
</file>