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1.005049.000.00.00.H56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998/QĐ-UBND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Cho phép trung tâm ngoại ngữ, tin học hoạt động giáo dục</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Các cơ sở giáo dục khác</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a) Giám đốc Sở Giáo dục và Đào tạo quyết định cho phép hoạt động giáo dục đối với trung tâm ngoại ngữ, tin học trực thuộc; các trung tâm ngoại ngữ, tin học thuộc đại học, học viện, trường đại học, trường cao đẳng sư phạm nằm ngoài khuôn viên của trường và các trung tâm ngoại ngữ, tin học của tổ chức xã hội, tổ chức xã hội - nghề nghiệp, tổ chức kinh tế được pháp luật cho phép thành lập các trung tâm đào tạo trực thuộc;
b) Giám đốc đại học, học viện; hiệu trưởng trường đại học, trường cao đẳng quyết định cho phép hoạt động giáo dục đối với trung tâm ngoại ngữ, tin học hoạt động trong khuôn viên của trường.
a) Trung tâm ngoại ngữ, tin học gửi trực tiếp hoặc qua bưu điện 01 bộ hồ sơ đến người có thẩm quyền;
b) Trong thời hạn 05 ngày làm việc, kể từ ngày nhận hồ sơ, người có thẩm quyền tiếp nhận hồ sơ. Nếu hồ sơ chưa đúng quy định thì thông báo bằng văn bản những nội dung cần chỉnh sửa, bổ sung cho trung tâm;
c) Trong thời hạn 10 ngày làm việc, kể từ ngày nhận được hồ sơ đúng quy định, người có thẩm quyền phối hợp với các cơ quan, đơn vị có liên quan tổ chức thẩm định trên thực tế khả năng đáp ứng các điều kiện theo quy định và ghi kết quả vào biên bản thẩm định;
d) Trong thời hạn 05 ngày làm việc, kể từ ngày có kết quả thẩm định, người có thẩm quyền quyết định cho phép trung tâm hoạt động giáo dục. Nếu chưa quyết định cho phép hoạt động giáo dục thì có văn bản thông báo cho trung tâm nêu rõ lý do</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15 Ngày làm việc</w:t>
            </w:r>
          </w:p>
        </w:tc>
        <w:tc>
          <w:p/>
          <w:p>
            <w:pPr>
              <w:spacing w:after="0" w:before="0" w:lineRule="auto" w:line="276"/>
              <w:jc w:val="left"/>
            </w:pPr>
            <w:r>
              <w:rPr>
                <w:rFonts w:ascii="Times New Roman" w:hAnsi="Times New Roman" w:cs="Times New Roman" w:eastAsia="Times New Roman"/>
                <w:b w:val="false"/>
                <w:sz w:val="26"/>
              </w:rPr>
              <w:t>Phí : 0 Đồng</w:t>
            </w:r>
          </w:p>
        </w:tc>
        <w:tc>
          <w:p/>
          <w:p>
            <w:pPr>
              <w:spacing w:after="0" w:before="0" w:lineRule="auto" w:line="276"/>
              <w:jc w:val="left"/>
            </w:pPr>
            <w:r>
              <w:rPr>
                <w:rFonts w:ascii="Times New Roman" w:hAnsi="Times New Roman" w:cs="Times New Roman" w:eastAsia="Times New Roman"/>
                <w:b w:val="false"/>
                <w:sz w:val="26"/>
              </w:rPr>
              <w:t>15 ngày làm việc kể từ ngày nhận đủ hồ sơ hợp lệ</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15 Ngày làm việc</w:t>
            </w:r>
          </w:p>
        </w:tc>
        <w:tc>
          <w:p/>
          <w:p>
            <w:pPr>
              <w:spacing w:after="0" w:before="0" w:lineRule="auto" w:line="276"/>
              <w:jc w:val="left"/>
            </w:pPr>
            <w:r>
              <w:rPr>
                <w:rFonts w:ascii="Times New Roman" w:hAnsi="Times New Roman" w:cs="Times New Roman" w:eastAsia="Times New Roman"/>
                <w:b w:val="false"/>
                <w:sz w:val="26"/>
              </w:rPr>
              <w:t>Phí : 0 Đồng</w:t>
            </w:r>
          </w:p>
        </w:tc>
        <w:tc>
          <w:p/>
          <w:p>
            <w:pPr>
              <w:spacing w:after="0" w:before="0" w:lineRule="auto" w:line="276"/>
              <w:jc w:val="left"/>
            </w:pPr>
            <w:r>
              <w:rPr>
                <w:rFonts w:ascii="Times New Roman" w:hAnsi="Times New Roman" w:cs="Times New Roman" w:eastAsia="Times New Roman"/>
                <w:b w:val="false"/>
                <w:sz w:val="26"/>
              </w:rPr>
              <w:t>15 ngày làm việc kể từ ngày nhận đủ hồ sơ hợp lệ.
Địa chỉ trực tuyến: https://dichvucong.thanhhoa.gov.vn (một phần).</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15 Ngày làm việc</w:t>
            </w:r>
          </w:p>
        </w:tc>
        <w:tc>
          <w:p/>
          <w:p>
            <w:pPr>
              <w:spacing w:after="0" w:before="0" w:lineRule="auto" w:line="276"/>
              <w:jc w:val="left"/>
            </w:pPr>
            <w:r>
              <w:rPr>
                <w:rFonts w:ascii="Times New Roman" w:hAnsi="Times New Roman" w:cs="Times New Roman" w:eastAsia="Times New Roman"/>
                <w:b w:val="false"/>
                <w:sz w:val="26"/>
              </w:rPr>
              <w:t>Phí : 0 Đồng</w:t>
            </w:r>
          </w:p>
        </w:tc>
        <w:tc>
          <w:p/>
          <w:p>
            <w:pPr>
              <w:spacing w:after="0" w:before="0" w:lineRule="auto" w:line="276"/>
              <w:jc w:val="left"/>
            </w:pPr>
            <w:r>
              <w:rPr>
                <w:rFonts w:ascii="Times New Roman" w:hAnsi="Times New Roman" w:cs="Times New Roman" w:eastAsia="Times New Roman"/>
                <w:b w:val="false"/>
                <w:sz w:val="26"/>
              </w:rPr>
              <w:t>15 ngày làm việc kể từ ngày nhận đủ hồ sơ hợp lệ</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Tờ trình đề nghị cấp phép hoạt động giáo dục</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được cấp từ sổ gốc, bản sao được chứng thực từ bản chính hoặc bản sao kèm theo bản chính để đối chiếu quyết định thành lập trung tâm do người có thẩm quyền cấp;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Nội quy hoạt động giáo dục của trung tâm</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Báo cáo về cơ sở vật chất, trang thiết bị, chương trình, tài liệu dạy học; đội ngũ cán bộ quản lý, giáo viên; văn bản chứng minh về quyền sử dụng hợp pháp đất, nhà; nguồn kinh phí bảo đảm hoạt động của trung tâm</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Cán bộ, công chức, viên chức, 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Giáo dục và Đào tạo, Cơ sở giáo dục nghề nghiệp và giáo dục đại học công lập</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Giám đốc Sở Giáo dục và Đào tạo</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của Sở Giáo dục và Đào tạo tại Trung tâm Phục vụ hành chính công tỉnh Thanh Hóa, số 28 Đại lộ Lê Lợi, phường Điện Biên, thành phố Thanh Hóa, tỉnh Thanh Hóa; Địa chỉ trực tuyến: https://dichvucong.thanhhoa.gov.vn (một phần).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cho phép trung tâm ngoại ngữ, tin học hoạt động giáo dục của giám đốc Sở GDĐT hoặc Giám đốc ĐH, học viện; hiệu trưởng trường ĐH, trường CĐ</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46/2017/NĐ-CP</w:t>
            </w:r>
          </w:p>
        </w:tc>
        <w:tc>
          <w:p/>
          <w:p>
            <w:pPr>
              <w:spacing w:after="0" w:before="0" w:lineRule="auto" w:line="276"/>
              <w:jc w:val="left"/>
            </w:pPr>
            <w:r>
              <w:rPr>
                <w:rFonts w:ascii="Times New Roman" w:hAnsi="Times New Roman" w:cs="Times New Roman" w:eastAsia="Times New Roman"/>
                <w:b w:val="false"/>
                <w:sz w:val="26"/>
              </w:rPr>
              <w:t>Quy định về điều kiện đầu tư và hoạt động trong lĩnh vực giáo dục</w:t>
            </w:r>
          </w:p>
        </w:tc>
        <w:tc>
          <w:p/>
          <w:p>
            <w:pPr>
              <w:spacing w:after="0" w:before="0" w:lineRule="auto" w:line="276"/>
              <w:jc w:val="left"/>
            </w:pPr>
            <w:r>
              <w:rPr>
                <w:rFonts w:ascii="Times New Roman" w:hAnsi="Times New Roman" w:cs="Times New Roman" w:eastAsia="Times New Roman"/>
                <w:b w:val="false"/>
                <w:sz w:val="26"/>
              </w:rPr>
              <w:t>21-04-2017</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135/2018/NĐ-CP</w:t>
            </w:r>
          </w:p>
        </w:tc>
        <w:tc>
          <w:p/>
          <w:p>
            <w:pPr>
              <w:spacing w:after="0" w:before="0" w:lineRule="auto" w:line="276"/>
              <w:jc w:val="left"/>
            </w:pPr>
            <w:r>
              <w:rPr>
                <w:rFonts w:ascii="Times New Roman" w:hAnsi="Times New Roman" w:cs="Times New Roman" w:eastAsia="Times New Roman"/>
                <w:b w:val="false"/>
                <w:sz w:val="26"/>
              </w:rPr>
              <w:t>sửa đổi, bổ sung một số điều của Nghị định số 46/2017/NĐ-CP ngày 21/4/2017 của Chính phủ quy định về điều kiện đầu tư và hoạt động trong lĩnh vực giáo dục</w:t>
            </w:r>
          </w:p>
        </w:tc>
        <w:tc>
          <w:p/>
          <w:p>
            <w:pPr>
              <w:spacing w:after="0" w:before="0" w:lineRule="auto" w:line="276"/>
              <w:jc w:val="left"/>
            </w:pPr>
            <w:r>
              <w:rPr>
                <w:rFonts w:ascii="Times New Roman" w:hAnsi="Times New Roman" w:cs="Times New Roman" w:eastAsia="Times New Roman"/>
                <w:b w:val="false"/>
                <w:sz w:val="26"/>
              </w:rPr>
              <w:t>04-10-2018</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a) Có đội ngũ cán bộ quản lý, giáo viên, nhân viên đạt chuẩn theo quy định, đáp ứng yêu cầu hoạt động của trung tâm.
b) Có cơ sở vật chất, trang thiết bị, chương trình, tài liệu dạy học, nguồn kinh phí phù hợp, bảo đảm chất lượng giáo dục theo kế hoạch xây dựng, phát triển và quy mô hoạt động của trung tâm.</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2024-03-28T14:56:14Z</dcterms:created>
  <dc:creator>Apache POI</dc:creator>
</cp:coreProperties>
</file>